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center"/>
        <w:rPr>
          <w:rStyle w:val="17"/>
          <w:rFonts w:asciiTheme="minorHAnsi" w:hAnsiTheme="minorHAnsi"/>
          <w:color w:val="auto"/>
          <w:sz w:val="16"/>
          <w:szCs w:val="16"/>
        </w:rPr>
      </w:pPr>
      <w:r>
        <w:rPr>
          <w:rFonts w:ascii="Times New Roman" w:hAnsi="Times New Roman" w:cs="Times New Roman"/>
          <w:b/>
          <w:sz w:val="10"/>
          <w:szCs w:val="10"/>
        </w:rPr>
        <w:drawing>
          <wp:anchor distT="0" distB="0" distL="114300" distR="114300" simplePos="0" relativeHeight="251660288" behindDoc="0" locked="0" layoutInCell="1" allowOverlap="1">
            <wp:simplePos x="0" y="0"/>
            <wp:positionH relativeFrom="column">
              <wp:posOffset>-311150</wp:posOffset>
            </wp:positionH>
            <wp:positionV relativeFrom="paragraph">
              <wp:posOffset>-702945</wp:posOffset>
            </wp:positionV>
            <wp:extent cx="1092835" cy="1084580"/>
            <wp:effectExtent l="0" t="0" r="12065" b="7620"/>
            <wp:wrapNone/>
            <wp:docPr id="4" name="图片 4" descr="C:\Users\lenovo\Documents\WXWorkLocal\1688849885803021_1970325129025079\Cache\Image\2024-07\AAAPG202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Documents\WXWorkLocal\1688849885803021_1970325129025079\Cache\Image\2024-07\AAAPG2024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92835" cy="1084580"/>
                    </a:xfrm>
                    <a:prstGeom prst="rect">
                      <a:avLst/>
                    </a:prstGeom>
                    <a:noFill/>
                    <a:ln>
                      <a:noFill/>
                    </a:ln>
                  </pic:spPr>
                </pic:pic>
              </a:graphicData>
            </a:graphic>
          </wp:anchor>
        </w:drawing>
      </w:r>
      <w:r>
        <w:rPr>
          <w:rStyle w:val="17"/>
          <w:rFonts w:asciiTheme="minorHAnsi" w:hAnsiTheme="minorHAnsi"/>
          <w:b/>
          <w:bCs/>
          <w:color w:val="auto"/>
          <w:sz w:val="16"/>
          <w:szCs w:val="16"/>
        </w:rPr>
        <w:drawing>
          <wp:anchor distT="0" distB="0" distL="114300" distR="114300" simplePos="0" relativeHeight="251659264" behindDoc="1" locked="0" layoutInCell="1" allowOverlap="1">
            <wp:simplePos x="0" y="0"/>
            <wp:positionH relativeFrom="column">
              <wp:posOffset>1489710</wp:posOffset>
            </wp:positionH>
            <wp:positionV relativeFrom="paragraph">
              <wp:posOffset>530225</wp:posOffset>
            </wp:positionV>
            <wp:extent cx="2262505" cy="2049780"/>
            <wp:effectExtent l="0" t="0" r="444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5" cstate="print">
                      <a:lum bright="70000" contrast="-70000"/>
                      <a:extLst>
                        <a:ext uri="{28A0092B-C50C-407E-A947-70E740481C1C}">
                          <a14:useLocalDpi xmlns:a14="http://schemas.microsoft.com/office/drawing/2010/main" val="0"/>
                        </a:ext>
                      </a:extLst>
                    </a:blip>
                    <a:srcRect/>
                    <a:stretch>
                      <a:fillRect/>
                    </a:stretch>
                  </pic:blipFill>
                  <pic:spPr>
                    <a:xfrm>
                      <a:off x="0" y="0"/>
                      <a:ext cx="2262505" cy="2049780"/>
                    </a:xfrm>
                    <a:prstGeom prst="rect">
                      <a:avLst/>
                    </a:prstGeom>
                    <a:noFill/>
                    <a:ln>
                      <a:noFill/>
                    </a:ln>
                  </pic:spPr>
                </pic:pic>
              </a:graphicData>
            </a:graphic>
          </wp:anchor>
        </w:drawing>
      </w:r>
    </w:p>
    <w:p>
      <w:pPr>
        <w:adjustRightInd w:val="0"/>
        <w:snapToGrid w:val="0"/>
        <w:spacing w:after="156" w:afterLines="50"/>
        <w:jc w:val="center"/>
        <w:rPr>
          <w:rStyle w:val="17"/>
          <w:rFonts w:asciiTheme="minorHAnsi" w:hAnsiTheme="minorHAnsi"/>
          <w:b/>
          <w:bCs/>
          <w:color w:val="auto"/>
          <w:sz w:val="18"/>
          <w:szCs w:val="18"/>
        </w:rPr>
      </w:pPr>
    </w:p>
    <w:p>
      <w:pPr>
        <w:adjustRightInd w:val="0"/>
        <w:snapToGrid w:val="0"/>
        <w:spacing w:after="156" w:afterLines="50"/>
        <w:jc w:val="center"/>
        <w:rPr>
          <w:rStyle w:val="17"/>
          <w:rFonts w:asciiTheme="minorHAnsi" w:hAnsiTheme="minorHAnsi"/>
          <w:b/>
          <w:bCs/>
          <w:color w:val="auto"/>
          <w:sz w:val="28"/>
        </w:rPr>
      </w:pPr>
      <w:r>
        <w:rPr>
          <w:rStyle w:val="17"/>
          <w:rFonts w:asciiTheme="minorHAnsi" w:hAnsiTheme="minorHAnsi" w:cstheme="minorHAnsi"/>
          <w:b/>
          <w:color w:val="auto"/>
          <w:sz w:val="28"/>
        </w:rPr>
        <w:t>The 12th International Conference on Petroleum Geochemistry and Exploration in the Afro-Asian Region</w:t>
      </w:r>
      <w:r>
        <w:rPr>
          <w:rStyle w:val="17"/>
          <w:rFonts w:asciiTheme="minorHAnsi" w:hAnsiTheme="minorHAnsi"/>
          <w:b/>
          <w:bCs/>
          <w:color w:val="auto"/>
          <w:sz w:val="28"/>
        </w:rPr>
        <w:t xml:space="preserve"> </w:t>
      </w:r>
    </w:p>
    <w:p>
      <w:pPr>
        <w:adjustRightInd w:val="0"/>
        <w:snapToGrid w:val="0"/>
        <w:spacing w:after="156" w:afterLines="50"/>
        <w:jc w:val="center"/>
        <w:rPr>
          <w:rStyle w:val="17"/>
          <w:rFonts w:asciiTheme="minorHAnsi" w:hAnsiTheme="minorHAnsi" w:cstheme="minorHAnsi"/>
          <w:b/>
          <w:bCs/>
          <w:color w:val="auto"/>
          <w:sz w:val="28"/>
        </w:rPr>
      </w:pPr>
      <w:r>
        <w:rPr>
          <w:rStyle w:val="17"/>
          <w:rFonts w:asciiTheme="minorHAnsi" w:hAnsiTheme="minorHAnsi"/>
          <w:b/>
          <w:bCs/>
          <w:color w:val="auto"/>
          <w:sz w:val="28"/>
        </w:rPr>
        <w:t>SECOND</w:t>
      </w:r>
      <w:r>
        <w:rPr>
          <w:rStyle w:val="17"/>
          <w:rFonts w:asciiTheme="minorHAnsi" w:hAnsiTheme="minorHAnsi" w:cstheme="minorHAnsi"/>
          <w:b/>
          <w:bCs/>
          <w:color w:val="auto"/>
          <w:sz w:val="28"/>
        </w:rPr>
        <w:t xml:space="preserve"> CIRCULAR</w:t>
      </w:r>
    </w:p>
    <w:p>
      <w:pPr>
        <w:adjustRightInd w:val="0"/>
        <w:snapToGrid w:val="0"/>
        <w:spacing w:after="156" w:afterLines="50"/>
        <w:jc w:val="center"/>
        <w:rPr>
          <w:rStyle w:val="18"/>
          <w:rFonts w:asciiTheme="minorHAnsi" w:hAnsiTheme="minorHAnsi" w:cstheme="minorHAnsi"/>
          <w:color w:val="auto"/>
          <w:sz w:val="28"/>
          <w:szCs w:val="30"/>
        </w:rPr>
      </w:pPr>
      <w:r>
        <w:rPr>
          <w:rStyle w:val="18"/>
          <w:rFonts w:asciiTheme="minorHAnsi" w:hAnsiTheme="minorHAnsi" w:cstheme="minorHAnsi"/>
          <w:color w:val="auto"/>
          <w:sz w:val="28"/>
          <w:szCs w:val="30"/>
        </w:rPr>
        <w:t>AAAPG 2024</w:t>
      </w:r>
    </w:p>
    <w:p>
      <w:pPr>
        <w:adjustRightInd w:val="0"/>
        <w:snapToGrid w:val="0"/>
        <w:spacing w:after="156" w:afterLines="50"/>
        <w:jc w:val="center"/>
        <w:rPr>
          <w:rStyle w:val="17"/>
          <w:rFonts w:asciiTheme="minorHAnsi" w:hAnsiTheme="minorHAnsi"/>
          <w:b/>
          <w:bCs/>
          <w:color w:val="auto"/>
          <w:sz w:val="28"/>
        </w:rPr>
      </w:pPr>
      <w:r>
        <w:rPr>
          <w:rStyle w:val="17"/>
          <w:rFonts w:asciiTheme="minorHAnsi" w:hAnsiTheme="minorHAnsi" w:cstheme="minorHAnsi"/>
          <w:b/>
          <w:color w:val="auto"/>
          <w:sz w:val="28"/>
        </w:rPr>
        <w:t xml:space="preserve">  </w:t>
      </w:r>
      <w:r>
        <w:rPr>
          <w:rFonts w:hint="eastAsia" w:cstheme="minorHAnsi"/>
          <w:b/>
          <w:sz w:val="28"/>
          <w:szCs w:val="30"/>
        </w:rPr>
        <w:t>O</w:t>
      </w:r>
      <w:r>
        <w:rPr>
          <w:rStyle w:val="17"/>
          <w:rFonts w:hint="eastAsia" w:asciiTheme="minorHAnsi" w:hAnsiTheme="minorHAnsi"/>
          <w:b/>
          <w:bCs/>
          <w:color w:val="auto"/>
          <w:sz w:val="28"/>
        </w:rPr>
        <w:t>ctober 18-</w:t>
      </w:r>
      <w:r>
        <w:rPr>
          <w:rStyle w:val="17"/>
          <w:rFonts w:asciiTheme="minorHAnsi" w:hAnsiTheme="minorHAnsi"/>
          <w:b/>
          <w:bCs/>
          <w:color w:val="auto"/>
          <w:sz w:val="28"/>
        </w:rPr>
        <w:t>19</w:t>
      </w:r>
      <w:r>
        <w:rPr>
          <w:rStyle w:val="17"/>
          <w:rFonts w:hint="eastAsia" w:asciiTheme="minorHAnsi" w:hAnsiTheme="minorHAnsi"/>
          <w:b/>
          <w:bCs/>
          <w:color w:val="auto"/>
          <w:sz w:val="28"/>
        </w:rPr>
        <w:t>, 2024</w:t>
      </w:r>
    </w:p>
    <w:p>
      <w:pPr>
        <w:adjustRightInd w:val="0"/>
        <w:snapToGrid w:val="0"/>
        <w:spacing w:after="156" w:afterLines="50"/>
        <w:jc w:val="center"/>
        <w:rPr>
          <w:rStyle w:val="17"/>
          <w:rFonts w:asciiTheme="minorHAnsi" w:hAnsiTheme="minorHAnsi"/>
          <w:b/>
          <w:bCs/>
          <w:color w:val="auto"/>
          <w:sz w:val="28"/>
        </w:rPr>
      </w:pPr>
      <w:r>
        <w:rPr>
          <w:rStyle w:val="17"/>
          <w:rFonts w:hint="eastAsia" w:asciiTheme="minorHAnsi" w:hAnsiTheme="minorHAnsi"/>
          <w:b/>
          <w:bCs/>
          <w:color w:val="auto"/>
          <w:sz w:val="28"/>
        </w:rPr>
        <w:t>Beijing</w:t>
      </w:r>
      <w:r>
        <w:rPr>
          <w:rStyle w:val="17"/>
          <w:rFonts w:asciiTheme="minorHAnsi" w:hAnsiTheme="minorHAnsi"/>
          <w:b/>
          <w:bCs/>
          <w:color w:val="auto"/>
          <w:sz w:val="28"/>
        </w:rPr>
        <w:t>, China</w:t>
      </w:r>
    </w:p>
    <w:p>
      <w:pPr>
        <w:adjustRightInd w:val="0"/>
        <w:snapToGrid w:val="0"/>
        <w:spacing w:after="156" w:afterLines="50"/>
        <w:jc w:val="center"/>
        <w:rPr>
          <w:rStyle w:val="17"/>
          <w:rFonts w:asciiTheme="minorHAnsi" w:hAnsiTheme="minorHAnsi"/>
          <w:b/>
          <w:bCs/>
          <w:color w:val="auto"/>
          <w:sz w:val="28"/>
        </w:rPr>
      </w:pPr>
      <w:r>
        <w:rPr>
          <w:rStyle w:val="17"/>
          <w:rFonts w:hint="eastAsia" w:asciiTheme="minorHAnsi" w:hAnsiTheme="minorHAnsi"/>
          <w:b/>
          <w:bCs/>
          <w:color w:val="auto"/>
          <w:sz w:val="28"/>
        </w:rPr>
        <w:t>www.aaapg.org.cn</w:t>
      </w:r>
    </w:p>
    <w:p>
      <w:pPr>
        <w:spacing w:after="120"/>
        <w:rPr>
          <w:rFonts w:cstheme="minorHAnsi"/>
        </w:rPr>
      </w:pPr>
    </w:p>
    <w:p>
      <w:pPr>
        <w:spacing w:after="120"/>
        <w:ind w:firstLine="525" w:firstLineChars="250"/>
        <w:rPr>
          <w:rFonts w:cstheme="minorHAnsi"/>
        </w:rPr>
      </w:pPr>
      <w:r>
        <w:rPr>
          <w:rFonts w:cstheme="minorHAnsi"/>
        </w:rPr>
        <w:t>The 12th International Conference on Petroleum Geochemistry and Exploration in the Afro-Asian Region (AAAPG2024) is an international forum where the latest research and technological advances related to petroleum geochemistry in the Afro-Asian region are presented and exchanged. This is the 12th meeting of the AAAPG series which started in 1985 to unit experts in petroleum geochemistry across the Afro-Asian region, working on various geological and geochemical issues. The objective of the AAAPG</w:t>
      </w:r>
      <w:r>
        <w:rPr>
          <w:rFonts w:hint="eastAsia" w:cstheme="minorHAnsi"/>
        </w:rPr>
        <w:t xml:space="preserve"> </w:t>
      </w:r>
      <w:r>
        <w:rPr>
          <w:rFonts w:cstheme="minorHAnsi"/>
        </w:rPr>
        <w:t xml:space="preserve">2024, which is to be held in </w:t>
      </w:r>
      <w:r>
        <w:rPr>
          <w:rFonts w:hint="eastAsia" w:cstheme="minorHAnsi"/>
        </w:rPr>
        <w:t>Beijing</w:t>
      </w:r>
      <w:r>
        <w:rPr>
          <w:rFonts w:cstheme="minorHAnsi"/>
        </w:rPr>
        <w:t xml:space="preserve">, China, on </w:t>
      </w:r>
      <w:r>
        <w:rPr>
          <w:rFonts w:hint="eastAsia" w:ascii="Arial" w:hAnsi="Arial" w:cs="Arial"/>
          <w:b/>
          <w:color w:val="FF0000"/>
          <w:kern w:val="0"/>
          <w:sz w:val="18"/>
          <w:szCs w:val="18"/>
        </w:rPr>
        <w:t>18-</w:t>
      </w:r>
      <w:r>
        <w:rPr>
          <w:rFonts w:ascii="Arial" w:hAnsi="Arial" w:cs="Arial"/>
          <w:b/>
          <w:color w:val="FF0000"/>
          <w:kern w:val="0"/>
          <w:sz w:val="18"/>
          <w:szCs w:val="18"/>
        </w:rPr>
        <w:t>19</w:t>
      </w:r>
      <w:r>
        <w:rPr>
          <w:rFonts w:hint="eastAsia" w:ascii="Arial" w:hAnsi="Arial" w:cs="Arial"/>
          <w:b/>
          <w:color w:val="FF0000"/>
          <w:kern w:val="0"/>
          <w:sz w:val="18"/>
          <w:szCs w:val="18"/>
        </w:rPr>
        <w:t xml:space="preserve"> October</w:t>
      </w:r>
      <w:r>
        <w:rPr>
          <w:rFonts w:cstheme="minorHAnsi"/>
        </w:rPr>
        <w:t>, 2024, is to promote international and interdisciplinary exchange of information, to foster co-operation among researchers in academia, research institutes and industr</w:t>
      </w:r>
      <w:r>
        <w:rPr>
          <w:rFonts w:hint="eastAsia" w:cstheme="minorHAnsi"/>
        </w:rPr>
        <w:t>ies</w:t>
      </w:r>
      <w:r>
        <w:rPr>
          <w:rFonts w:cstheme="minorHAnsi"/>
        </w:rPr>
        <w:t xml:space="preserve">, and to stimulate growth and advances in the field of petroleum geochemistry across the Afro-Asian region. </w:t>
      </w:r>
    </w:p>
    <w:p>
      <w:pPr>
        <w:spacing w:after="120"/>
        <w:rPr>
          <w:rFonts w:cstheme="minorHAnsi"/>
        </w:rPr>
      </w:pPr>
    </w:p>
    <w:p>
      <w:pPr>
        <w:spacing w:after="120"/>
        <w:rPr>
          <w:rFonts w:cstheme="minorHAnsi"/>
        </w:rPr>
      </w:pPr>
      <w:r>
        <w:rPr>
          <w:rFonts w:cstheme="minorHAnsi"/>
          <w:b/>
        </w:rPr>
        <w:t>CONFERENCE THEME</w:t>
      </w:r>
      <w:r>
        <w:rPr>
          <w:rFonts w:cstheme="minorHAnsi"/>
        </w:rPr>
        <w:t xml:space="preserve">: </w:t>
      </w:r>
      <w:r>
        <w:rPr>
          <w:rFonts w:hint="eastAsia" w:cstheme="minorHAnsi"/>
        </w:rPr>
        <w:t xml:space="preserve">New advances of petroleum exploration &amp; exploitation in </w:t>
      </w:r>
      <w:r>
        <w:rPr>
          <w:rFonts w:cstheme="minorHAnsi"/>
        </w:rPr>
        <w:t>Afro-Asian region</w:t>
      </w:r>
      <w:r>
        <w:rPr>
          <w:rFonts w:hint="eastAsia" w:cstheme="minorHAnsi"/>
        </w:rPr>
        <w:t xml:space="preserve"> and coordinated development of regional resources and environment</w:t>
      </w:r>
    </w:p>
    <w:p>
      <w:pPr>
        <w:spacing w:after="120"/>
        <w:rPr>
          <w:rFonts w:cstheme="minorHAnsi"/>
          <w:b/>
        </w:rPr>
      </w:pPr>
    </w:p>
    <w:p>
      <w:pPr>
        <w:spacing w:after="120"/>
        <w:rPr>
          <w:rFonts w:cstheme="minorHAnsi"/>
          <w:b/>
          <w:caps/>
        </w:rPr>
      </w:pPr>
      <w:r>
        <w:rPr>
          <w:rFonts w:cstheme="minorHAnsi"/>
          <w:b/>
          <w:caps/>
        </w:rPr>
        <w:t>Scientific topics</w:t>
      </w:r>
      <w:r>
        <w:rPr>
          <w:rFonts w:hint="eastAsia" w:cstheme="minorHAnsi"/>
          <w:b/>
          <w:caps/>
        </w:rPr>
        <w:t>:</w:t>
      </w:r>
    </w:p>
    <w:p>
      <w:pPr>
        <w:spacing w:after="120"/>
        <w:rPr>
          <w:rFonts w:cstheme="minorHAnsi"/>
        </w:rPr>
      </w:pPr>
      <w:r>
        <w:rPr>
          <w:rFonts w:cstheme="minorHAnsi"/>
        </w:rPr>
        <w:t>1.</w:t>
      </w:r>
      <w:r>
        <w:rPr>
          <w:rFonts w:hint="eastAsia" w:cstheme="minorHAnsi"/>
        </w:rPr>
        <w:t xml:space="preserve"> Evolution of multiple layers of the Earth and carbon cycling</w:t>
      </w:r>
    </w:p>
    <w:p>
      <w:pPr>
        <w:spacing w:after="120"/>
        <w:rPr>
          <w:rFonts w:cstheme="minorHAnsi"/>
        </w:rPr>
      </w:pPr>
      <w:r>
        <w:rPr>
          <w:rFonts w:hint="eastAsia" w:cstheme="minorHAnsi"/>
        </w:rPr>
        <w:t>2</w:t>
      </w:r>
      <w:r>
        <w:rPr>
          <w:rFonts w:cstheme="minorHAnsi"/>
        </w:rPr>
        <w:t>. Fossil fuel resources of Afro-Asian region &amp; exploration priorities</w:t>
      </w:r>
    </w:p>
    <w:p>
      <w:pPr>
        <w:spacing w:after="120"/>
        <w:rPr>
          <w:rFonts w:cstheme="minorHAnsi"/>
        </w:rPr>
      </w:pPr>
      <w:r>
        <w:rPr>
          <w:rFonts w:hint="eastAsia" w:cstheme="minorHAnsi"/>
        </w:rPr>
        <w:t>3</w:t>
      </w:r>
      <w:r>
        <w:rPr>
          <w:rFonts w:cstheme="minorHAnsi"/>
        </w:rPr>
        <w:t>.</w:t>
      </w:r>
      <w:r>
        <w:rPr>
          <w:rFonts w:hint="eastAsia" w:cstheme="minorHAnsi"/>
        </w:rPr>
        <w:t xml:space="preserve"> Geochemistry of oil and gas generation and reservoir formation</w:t>
      </w:r>
    </w:p>
    <w:p>
      <w:pPr>
        <w:spacing w:after="120"/>
        <w:rPr>
          <w:rFonts w:cstheme="minorHAnsi"/>
        </w:rPr>
      </w:pPr>
      <w:r>
        <w:rPr>
          <w:rFonts w:hint="eastAsia" w:cstheme="minorHAnsi"/>
        </w:rPr>
        <w:t>4</w:t>
      </w:r>
      <w:r>
        <w:rPr>
          <w:rFonts w:cstheme="minorHAnsi"/>
        </w:rPr>
        <w:t>.</w:t>
      </w:r>
      <w:r>
        <w:rPr>
          <w:rFonts w:hint="eastAsia" w:cstheme="minorHAnsi"/>
        </w:rPr>
        <w:t xml:space="preserve"> Conventional and unconventional integration system of petroleum</w:t>
      </w:r>
    </w:p>
    <w:p>
      <w:pPr>
        <w:spacing w:after="120"/>
        <w:rPr>
          <w:rFonts w:cstheme="minorHAnsi"/>
        </w:rPr>
      </w:pPr>
      <w:r>
        <w:rPr>
          <w:rFonts w:hint="eastAsia" w:cstheme="minorHAnsi"/>
        </w:rPr>
        <w:t>5</w:t>
      </w:r>
      <w:r>
        <w:rPr>
          <w:rFonts w:cstheme="minorHAnsi"/>
        </w:rPr>
        <w:t>.</w:t>
      </w:r>
      <w:r>
        <w:rPr>
          <w:rFonts w:hint="eastAsia" w:cstheme="minorHAnsi"/>
        </w:rPr>
        <w:t xml:space="preserve"> Generation and evolution of Deep and ultra-deep reservoirs </w:t>
      </w:r>
    </w:p>
    <w:p>
      <w:pPr>
        <w:spacing w:after="120"/>
        <w:rPr>
          <w:rFonts w:cstheme="minorHAnsi"/>
        </w:rPr>
      </w:pPr>
      <w:r>
        <w:rPr>
          <w:rFonts w:hint="eastAsia" w:cstheme="minorHAnsi"/>
        </w:rPr>
        <w:t>6</w:t>
      </w:r>
      <w:r>
        <w:rPr>
          <w:rFonts w:cstheme="minorHAnsi"/>
        </w:rPr>
        <w:t>.</w:t>
      </w:r>
      <w:r>
        <w:rPr>
          <w:rFonts w:hint="eastAsia" w:cstheme="minorHAnsi"/>
        </w:rPr>
        <w:t xml:space="preserve"> Biomarkers and isotope organic geochemistry</w:t>
      </w:r>
    </w:p>
    <w:p>
      <w:pPr>
        <w:spacing w:after="120"/>
        <w:rPr>
          <w:rFonts w:cstheme="minorHAnsi"/>
        </w:rPr>
      </w:pPr>
      <w:r>
        <w:rPr>
          <w:rFonts w:hint="eastAsia" w:cstheme="minorHAnsi"/>
        </w:rPr>
        <w:t>7</w:t>
      </w:r>
      <w:r>
        <w:rPr>
          <w:rFonts w:cstheme="minorHAnsi"/>
        </w:rPr>
        <w:t>.</w:t>
      </w:r>
      <w:r>
        <w:rPr>
          <w:rFonts w:hint="eastAsia" w:cstheme="minorHAnsi"/>
        </w:rPr>
        <w:t xml:space="preserve"> Biological and Environmental Organic Geochemistry</w:t>
      </w:r>
    </w:p>
    <w:p>
      <w:pPr>
        <w:spacing w:after="120"/>
        <w:rPr>
          <w:rFonts w:cstheme="minorHAnsi"/>
        </w:rPr>
      </w:pPr>
      <w:r>
        <w:rPr>
          <w:rFonts w:hint="eastAsia" w:cstheme="minorHAnsi"/>
        </w:rPr>
        <w:t>8</w:t>
      </w:r>
      <w:r>
        <w:rPr>
          <w:rFonts w:cstheme="minorHAnsi"/>
        </w:rPr>
        <w:t>.</w:t>
      </w:r>
      <w:r>
        <w:rPr>
          <w:rFonts w:hint="eastAsia" w:cstheme="minorHAnsi"/>
        </w:rPr>
        <w:t xml:space="preserve"> Novel geochemical experimental techniques and methods</w:t>
      </w:r>
    </w:p>
    <w:p>
      <w:pPr>
        <w:spacing w:after="120"/>
        <w:rPr>
          <w:rFonts w:cstheme="minorHAnsi"/>
          <w:caps/>
        </w:rPr>
      </w:pPr>
      <w:r>
        <w:rPr>
          <w:rFonts w:hint="eastAsia" w:cstheme="minorHAnsi"/>
          <w:caps/>
        </w:rPr>
        <w:t>9.</w:t>
      </w:r>
      <w:r>
        <w:rPr>
          <w:rFonts w:hint="eastAsia" w:cstheme="minorHAnsi"/>
        </w:rPr>
        <w:t xml:space="preserve"> Digital earth and Intelligent Geochemical Exploration</w:t>
      </w:r>
    </w:p>
    <w:p>
      <w:pPr>
        <w:pStyle w:val="9"/>
        <w:spacing w:before="0" w:beforeAutospacing="0" w:after="0" w:afterAutospacing="0"/>
        <w:rPr>
          <w:rFonts w:hint="eastAsia"/>
          <w:color w:val="auto"/>
          <w:sz w:val="24"/>
          <w:szCs w:val="24"/>
        </w:rPr>
      </w:pPr>
      <w:r>
        <w:rPr>
          <w:rFonts w:hint="eastAsia" w:asciiTheme="minorHAnsi" w:hAnsiTheme="minorHAnsi" w:eastAsiaTheme="minorEastAsia" w:cstheme="minorHAnsi"/>
          <w:color w:val="auto"/>
          <w:spacing w:val="0"/>
          <w:kern w:val="2"/>
          <w:sz w:val="21"/>
          <w:szCs w:val="22"/>
        </w:rPr>
        <w:t>10. Exploration and Comprehensive Utilization of petroleum Associated Resource (H</w:t>
      </w:r>
      <w:r>
        <w:rPr>
          <w:rFonts w:hint="eastAsia" w:asciiTheme="minorHAnsi" w:hAnsiTheme="minorHAnsi" w:eastAsiaTheme="minorEastAsia" w:cstheme="minorHAnsi"/>
          <w:color w:val="auto"/>
          <w:spacing w:val="0"/>
          <w:kern w:val="2"/>
          <w:sz w:val="21"/>
          <w:szCs w:val="22"/>
          <w:vertAlign w:val="subscript"/>
        </w:rPr>
        <w:t>2</w:t>
      </w:r>
      <w:r>
        <w:rPr>
          <w:rFonts w:hint="eastAsia" w:asciiTheme="minorHAnsi" w:hAnsiTheme="minorHAnsi" w:eastAsiaTheme="minorEastAsia" w:cstheme="minorHAnsi"/>
          <w:color w:val="auto"/>
          <w:spacing w:val="0"/>
          <w:kern w:val="2"/>
          <w:sz w:val="21"/>
          <w:szCs w:val="22"/>
        </w:rPr>
        <w:t>, He etc.)</w:t>
      </w:r>
    </w:p>
    <w:p>
      <w:pPr>
        <w:spacing w:after="120"/>
        <w:rPr>
          <w:rFonts w:cstheme="minorHAnsi"/>
          <w:b/>
          <w:sz w:val="24"/>
        </w:rPr>
      </w:pPr>
      <w:r>
        <w:rPr>
          <w:rFonts w:hint="eastAsia" w:cstheme="minorHAnsi"/>
          <w:b/>
          <w:sz w:val="24"/>
        </w:rPr>
        <w:t>1</w:t>
      </w:r>
      <w:r>
        <w:rPr>
          <w:rFonts w:cstheme="minorHAnsi"/>
          <w:b/>
          <w:sz w:val="24"/>
        </w:rPr>
        <w:t>. Organization</w:t>
      </w:r>
    </w:p>
    <w:p>
      <w:pPr>
        <w:widowControl/>
        <w:ind w:left="210" w:leftChars="100"/>
        <w:rPr>
          <w:rFonts w:cstheme="minorHAnsi"/>
        </w:rPr>
      </w:pPr>
      <w:r>
        <w:rPr>
          <w:rFonts w:hint="eastAsia" w:cstheme="minorHAnsi"/>
          <w:b/>
        </w:rPr>
        <w:t>HOST:</w:t>
      </w:r>
      <w:r>
        <w:rPr>
          <w:rFonts w:hint="eastAsia" w:cstheme="minorHAnsi"/>
          <w:b/>
        </w:rPr>
        <w:tab/>
      </w:r>
      <w:r>
        <w:rPr>
          <w:rFonts w:hint="eastAsia" w:cstheme="minorHAnsi"/>
          <w:b/>
        </w:rPr>
        <w:tab/>
      </w:r>
      <w:r>
        <w:rPr>
          <w:rFonts w:cstheme="minorHAnsi"/>
        </w:rPr>
        <w:t xml:space="preserve">Afro-Asian </w:t>
      </w:r>
      <w:r>
        <w:rPr>
          <w:rFonts w:hint="eastAsia" w:cstheme="minorHAnsi"/>
        </w:rPr>
        <w:t>Association</w:t>
      </w:r>
      <w:r>
        <w:rPr>
          <w:rFonts w:cstheme="minorHAnsi"/>
        </w:rPr>
        <w:t xml:space="preserve"> </w:t>
      </w:r>
      <w:r>
        <w:rPr>
          <w:rFonts w:hint="eastAsia" w:cstheme="minorHAnsi"/>
        </w:rPr>
        <w:t xml:space="preserve">of </w:t>
      </w:r>
      <w:r>
        <w:rPr>
          <w:rFonts w:cstheme="minorHAnsi"/>
        </w:rPr>
        <w:t>Petroleum Geochemist</w:t>
      </w:r>
      <w:r>
        <w:rPr>
          <w:rFonts w:hint="eastAsia" w:cstheme="minorHAnsi"/>
        </w:rPr>
        <w:t>s (AAAPG)</w:t>
      </w:r>
    </w:p>
    <w:p>
      <w:pPr>
        <w:widowControl/>
        <w:ind w:firstLine="1260" w:firstLineChars="600"/>
        <w:rPr>
          <w:rFonts w:hint="default" w:eastAsiaTheme="minorEastAsia" w:cstheme="minorHAnsi"/>
          <w:lang w:val="en-US" w:eastAsia="zh-CN"/>
        </w:rPr>
      </w:pPr>
      <w:r>
        <w:rPr>
          <w:rFonts w:cstheme="minorHAnsi"/>
        </w:rPr>
        <w:t>Chinese Petroleum Society</w:t>
      </w:r>
      <w:r>
        <w:rPr>
          <w:rFonts w:hint="eastAsia" w:cstheme="minorHAnsi"/>
          <w:lang w:val="en-US" w:eastAsia="zh-CN"/>
        </w:rPr>
        <w:t>, Geological Professional Committee</w:t>
      </w:r>
    </w:p>
    <w:p>
      <w:pPr>
        <w:widowControl/>
        <w:ind w:left="1470" w:leftChars="600" w:hanging="210" w:hangingChars="100"/>
        <w:jc w:val="left"/>
        <w:rPr>
          <w:rFonts w:hint="eastAsia" w:cstheme="minorHAnsi"/>
          <w:lang w:val="en-US" w:eastAsia="zh-CN"/>
        </w:rPr>
      </w:pPr>
      <w:r>
        <w:rPr>
          <w:rFonts w:hint="eastAsia" w:cstheme="minorHAnsi"/>
          <w:lang w:val="en-US" w:eastAsia="zh-CN"/>
        </w:rPr>
        <w:t xml:space="preserve">Geology Society of China, </w:t>
      </w:r>
      <w:r>
        <w:rPr>
          <w:rFonts w:hint="eastAsia" w:cstheme="minorHAnsi"/>
        </w:rPr>
        <w:t xml:space="preserve">The Professional Committee of </w:t>
      </w:r>
      <w:r>
        <w:rPr>
          <w:rFonts w:hint="eastAsia" w:cstheme="minorHAnsi"/>
          <w:lang w:val="en-US" w:eastAsia="zh-CN"/>
        </w:rPr>
        <w:t>Petroleum</w:t>
      </w:r>
      <w:r>
        <w:rPr>
          <w:rFonts w:hint="eastAsia" w:cstheme="minorHAnsi"/>
        </w:rPr>
        <w:t xml:space="preserve"> Geochemistry and </w:t>
      </w:r>
      <w:r>
        <w:rPr>
          <w:rFonts w:hint="eastAsia" w:cstheme="minorHAnsi"/>
          <w:lang w:val="en-US" w:eastAsia="zh-CN"/>
        </w:rPr>
        <w:t xml:space="preserve">Accumulation </w:t>
      </w:r>
    </w:p>
    <w:p>
      <w:pPr>
        <w:keepNext w:val="0"/>
        <w:keepLines w:val="0"/>
        <w:pageBreakBefore w:val="0"/>
        <w:widowControl w:val="0"/>
        <w:kinsoku/>
        <w:wordWrap/>
        <w:overflowPunct/>
        <w:topLinePunct w:val="0"/>
        <w:autoSpaceDE/>
        <w:autoSpaceDN/>
        <w:bidi w:val="0"/>
        <w:adjustRightInd/>
        <w:snapToGrid/>
        <w:spacing w:line="192" w:lineRule="auto"/>
        <w:ind w:left="105" w:leftChars="50"/>
        <w:textAlignment w:val="auto"/>
        <w:rPr>
          <w:rFonts w:cstheme="minorHAnsi"/>
        </w:rPr>
      </w:pPr>
    </w:p>
    <w:p>
      <w:pPr>
        <w:widowControl/>
        <w:ind w:left="210" w:leftChars="100"/>
        <w:rPr>
          <w:rFonts w:cstheme="minorHAnsi"/>
        </w:rPr>
      </w:pPr>
      <w:r>
        <w:rPr>
          <w:rFonts w:hint="eastAsia" w:cstheme="minorHAnsi"/>
          <w:b/>
        </w:rPr>
        <w:t xml:space="preserve">ORGANIZER: </w:t>
      </w:r>
      <w:r>
        <w:rPr>
          <w:rFonts w:hint="eastAsia" w:cstheme="minorHAnsi"/>
          <w:b/>
          <w:lang w:val="en-US" w:eastAsia="zh-CN"/>
        </w:rPr>
        <w:t xml:space="preserve"> </w:t>
      </w:r>
      <w:r>
        <w:rPr>
          <w:rFonts w:hint="eastAsia" w:cstheme="minorHAnsi"/>
        </w:rPr>
        <w:t>Research Institute of Petroleum Exploration and Development (RIPED)</w:t>
      </w:r>
    </w:p>
    <w:p>
      <w:pPr>
        <w:widowControl/>
        <w:ind w:left="1050" w:leftChars="500" w:firstLine="420"/>
        <w:rPr>
          <w:rFonts w:cstheme="minorHAnsi"/>
        </w:rPr>
      </w:pPr>
      <w:r>
        <w:rPr>
          <w:rFonts w:cstheme="minorHAnsi"/>
        </w:rPr>
        <w:t xml:space="preserve">State Key Laboratory of Enhanced </w:t>
      </w:r>
      <w:r>
        <w:rPr>
          <w:rFonts w:hint="eastAsia" w:cstheme="minorHAnsi"/>
        </w:rPr>
        <w:t>Petroleum</w:t>
      </w:r>
      <w:r>
        <w:rPr>
          <w:rFonts w:cstheme="minorHAnsi"/>
        </w:rPr>
        <w:t xml:space="preserve"> Recovery</w:t>
      </w:r>
      <w:r>
        <w:rPr>
          <w:rFonts w:hint="eastAsia" w:cstheme="minorHAnsi"/>
        </w:rPr>
        <w:t xml:space="preserve"> (SKL-EPR)</w:t>
      </w:r>
    </w:p>
    <w:p>
      <w:pPr>
        <w:widowControl/>
        <w:ind w:left="1050" w:leftChars="500" w:firstLine="420"/>
        <w:rPr>
          <w:rFonts w:cstheme="minorHAnsi"/>
        </w:rPr>
      </w:pPr>
      <w:bookmarkStart w:id="5" w:name="_GoBack"/>
      <w:bookmarkEnd w:id="5"/>
      <w:r>
        <w:rPr>
          <w:rFonts w:hint="eastAsia" w:cstheme="minorHAnsi"/>
        </w:rPr>
        <w:t>Key Laboratory of Petroleum Geochemistry (KLPG) of CNPC</w:t>
      </w:r>
    </w:p>
    <w:p>
      <w:pPr>
        <w:keepNext w:val="0"/>
        <w:keepLines w:val="0"/>
        <w:pageBreakBefore w:val="0"/>
        <w:widowControl w:val="0"/>
        <w:kinsoku/>
        <w:wordWrap/>
        <w:overflowPunct/>
        <w:topLinePunct w:val="0"/>
        <w:autoSpaceDE/>
        <w:autoSpaceDN/>
        <w:bidi w:val="0"/>
        <w:adjustRightInd/>
        <w:snapToGrid/>
        <w:spacing w:line="192" w:lineRule="auto"/>
        <w:ind w:left="105" w:leftChars="50"/>
        <w:textAlignment w:val="auto"/>
        <w:rPr>
          <w:rFonts w:cstheme="minorHAnsi"/>
          <w:sz w:val="16"/>
          <w:szCs w:val="18"/>
        </w:rPr>
      </w:pPr>
    </w:p>
    <w:p>
      <w:pPr>
        <w:spacing w:after="120"/>
        <w:ind w:left="210" w:leftChars="100"/>
        <w:rPr>
          <w:rFonts w:cstheme="minorHAnsi"/>
        </w:rPr>
      </w:pPr>
      <w:r>
        <w:rPr>
          <w:rFonts w:cstheme="minorHAnsi"/>
          <w:b/>
          <w:caps/>
        </w:rPr>
        <w:t>Date and Venue</w:t>
      </w:r>
      <w:r>
        <w:rPr>
          <w:rFonts w:cstheme="minorHAnsi"/>
        </w:rPr>
        <w:t xml:space="preserve">: </w:t>
      </w:r>
    </w:p>
    <w:p>
      <w:pPr>
        <w:ind w:left="210" w:leftChars="100"/>
        <w:jc w:val="left"/>
      </w:pPr>
      <w:r>
        <w:rPr>
          <w:rFonts w:hint="eastAsia"/>
        </w:rPr>
        <w:t>The conference will start in Beijing, China and the proposed date is 18-</w:t>
      </w:r>
      <w:r>
        <w:t>19</w:t>
      </w:r>
      <w:r>
        <w:rPr>
          <w:rFonts w:hint="eastAsia"/>
        </w:rPr>
        <w:t xml:space="preserve"> October 2024, including </w:t>
      </w:r>
      <w:r>
        <w:t>2</w:t>
      </w:r>
      <w:r>
        <w:rPr>
          <w:rFonts w:hint="eastAsia"/>
        </w:rPr>
        <w:t xml:space="preserve">-days meeting and followed by a 1-day field trip. </w:t>
      </w:r>
    </w:p>
    <w:p>
      <w:pPr>
        <w:ind w:left="210" w:leftChars="100"/>
        <w:jc w:val="left"/>
      </w:pPr>
      <w:r>
        <w:rPr>
          <w:rFonts w:hint="eastAsia"/>
        </w:rPr>
        <w:t xml:space="preserve">The Venue of conference and accommodation is CNPC Scicence-Technology Exchange Center, which located at the Northeast corner of intersection of Huanghe Street and Taihang Road, Changping District, Beijing. </w:t>
      </w:r>
    </w:p>
    <w:p>
      <w:pPr>
        <w:ind w:left="210" w:leftChars="100"/>
        <w:jc w:val="left"/>
        <w:rPr>
          <w:b/>
          <w:caps/>
        </w:rPr>
      </w:pPr>
    </w:p>
    <w:p>
      <w:pPr>
        <w:spacing w:after="120"/>
        <w:rPr>
          <w:rFonts w:cstheme="minorHAnsi"/>
          <w:b/>
          <w:sz w:val="24"/>
        </w:rPr>
      </w:pPr>
      <w:r>
        <w:rPr>
          <w:rFonts w:cstheme="minorHAnsi"/>
          <w:b/>
          <w:sz w:val="24"/>
        </w:rPr>
        <w:t>2. Registration</w:t>
      </w:r>
    </w:p>
    <w:p>
      <w:pPr>
        <w:spacing w:after="120"/>
        <w:ind w:left="210" w:leftChars="100"/>
        <w:rPr>
          <w:b/>
          <w:caps/>
        </w:rPr>
      </w:pPr>
      <w:r>
        <w:rPr>
          <w:b/>
          <w:caps/>
        </w:rPr>
        <w:t>Important Dates</w:t>
      </w:r>
      <w:r>
        <w:rPr>
          <w:rFonts w:hint="eastAsia"/>
          <w:b/>
          <w:caps/>
        </w:rPr>
        <w:t>:</w:t>
      </w:r>
    </w:p>
    <w:p>
      <w:pPr>
        <w:ind w:left="210" w:leftChars="100"/>
        <w:jc w:val="left"/>
      </w:pPr>
      <w:r>
        <w:rPr>
          <w:rFonts w:hint="eastAsia"/>
        </w:rPr>
        <w:t>May 20</w:t>
      </w:r>
      <w:r>
        <w:t>, 20</w:t>
      </w:r>
      <w:r>
        <w:rPr>
          <w:rFonts w:hint="eastAsia"/>
        </w:rPr>
        <w:t>24</w:t>
      </w:r>
      <w:r>
        <w:t>: Registration and Abstract Submission open</w:t>
      </w:r>
    </w:p>
    <w:p>
      <w:pPr>
        <w:ind w:left="210" w:leftChars="100"/>
        <w:jc w:val="left"/>
      </w:pPr>
      <w:r>
        <w:rPr>
          <w:rFonts w:hint="eastAsia"/>
        </w:rPr>
        <w:t>July</w:t>
      </w:r>
      <w:r>
        <w:t xml:space="preserve"> </w:t>
      </w:r>
      <w:r>
        <w:rPr>
          <w:rFonts w:hint="eastAsia"/>
          <w:lang w:val="en-US" w:eastAsia="zh-CN"/>
        </w:rPr>
        <w:t>20</w:t>
      </w:r>
      <w:r>
        <w:t>, 20</w:t>
      </w:r>
      <w:r>
        <w:rPr>
          <w:rFonts w:hint="eastAsia"/>
        </w:rPr>
        <w:t>24</w:t>
      </w:r>
      <w:r>
        <w:t>: Abstract Submission deadline</w:t>
      </w:r>
    </w:p>
    <w:p>
      <w:pPr>
        <w:ind w:left="210" w:leftChars="100"/>
        <w:jc w:val="left"/>
      </w:pPr>
      <w:r>
        <w:rPr>
          <w:rFonts w:hint="eastAsia"/>
        </w:rPr>
        <w:t>July</w:t>
      </w:r>
      <w:r>
        <w:t xml:space="preserve"> </w:t>
      </w:r>
      <w:r>
        <w:rPr>
          <w:rFonts w:hint="eastAsia"/>
          <w:lang w:val="en-US" w:eastAsia="zh-CN"/>
        </w:rPr>
        <w:t>30</w:t>
      </w:r>
      <w:r>
        <w:t>, 20</w:t>
      </w:r>
      <w:r>
        <w:rPr>
          <w:rFonts w:hint="eastAsia"/>
        </w:rPr>
        <w:t>24</w:t>
      </w:r>
      <w:r>
        <w:t xml:space="preserve">: </w:t>
      </w:r>
      <w:r>
        <w:rPr>
          <w:rFonts w:hint="eastAsia"/>
        </w:rPr>
        <w:t>Abstract Acceptance Notification, and send invitation for Visa application</w:t>
      </w:r>
    </w:p>
    <w:p>
      <w:pPr>
        <w:ind w:left="210" w:leftChars="100"/>
        <w:jc w:val="left"/>
      </w:pPr>
      <w:r>
        <w:rPr>
          <w:rFonts w:hint="eastAsia"/>
        </w:rPr>
        <w:t xml:space="preserve">August </w:t>
      </w:r>
      <w:r>
        <w:rPr>
          <w:rFonts w:hint="eastAsia"/>
          <w:lang w:val="en-US" w:eastAsia="zh-CN"/>
        </w:rPr>
        <w:t>31</w:t>
      </w:r>
      <w:r>
        <w:rPr>
          <w:rFonts w:hint="eastAsia"/>
        </w:rPr>
        <w:t xml:space="preserve">, 2024: Early bird </w:t>
      </w:r>
      <w:r>
        <w:t>registration</w:t>
      </w:r>
      <w:r>
        <w:rPr>
          <w:rFonts w:hint="eastAsia"/>
        </w:rPr>
        <w:t xml:space="preserve"> </w:t>
      </w:r>
      <w:r>
        <w:t>and</w:t>
      </w:r>
      <w:r>
        <w:rPr>
          <w:rFonts w:hint="eastAsia"/>
        </w:rPr>
        <w:t xml:space="preserve"> reservation  </w:t>
      </w:r>
    </w:p>
    <w:p>
      <w:pPr>
        <w:ind w:left="210" w:leftChars="100"/>
        <w:jc w:val="left"/>
      </w:pPr>
      <w:r>
        <w:rPr>
          <w:rFonts w:hint="eastAsia"/>
        </w:rPr>
        <w:t>October</w:t>
      </w:r>
      <w:r>
        <w:t xml:space="preserve"> </w:t>
      </w:r>
      <w:r>
        <w:rPr>
          <w:rFonts w:hint="eastAsia"/>
        </w:rPr>
        <w:t>17</w:t>
      </w:r>
      <w:r>
        <w:t>, 20</w:t>
      </w:r>
      <w:r>
        <w:rPr>
          <w:rFonts w:hint="eastAsia"/>
        </w:rPr>
        <w:t>24</w:t>
      </w:r>
      <w:r>
        <w:t xml:space="preserve">: </w:t>
      </w:r>
      <w:bookmarkStart w:id="0" w:name="OLE_LINK3"/>
      <w:r>
        <w:t>On-site registration</w:t>
      </w:r>
      <w:bookmarkEnd w:id="0"/>
      <w:r>
        <w:rPr>
          <w:rFonts w:hint="eastAsia"/>
        </w:rPr>
        <w:t xml:space="preserve"> </w:t>
      </w:r>
      <w:r>
        <w:t>and conference icebreaker (evening)</w:t>
      </w:r>
    </w:p>
    <w:p>
      <w:pPr>
        <w:ind w:left="210" w:leftChars="100"/>
        <w:jc w:val="left"/>
      </w:pPr>
      <w:r>
        <w:rPr>
          <w:rFonts w:hint="eastAsia"/>
        </w:rPr>
        <w:t>October</w:t>
      </w:r>
      <w:r>
        <w:t xml:space="preserve"> </w:t>
      </w:r>
      <w:r>
        <w:rPr>
          <w:rFonts w:hint="eastAsia"/>
        </w:rPr>
        <w:t>18</w:t>
      </w:r>
      <w:r>
        <w:t>-19, 20</w:t>
      </w:r>
      <w:r>
        <w:rPr>
          <w:rFonts w:hint="eastAsia"/>
        </w:rPr>
        <w:t>24</w:t>
      </w:r>
      <w:r>
        <w:t>: Conference sessions (</w:t>
      </w:r>
      <w:r>
        <w:rPr>
          <w:rFonts w:hint="eastAsia"/>
        </w:rPr>
        <w:t>3</w:t>
      </w:r>
      <w:r>
        <w:t xml:space="preserve"> days)</w:t>
      </w:r>
    </w:p>
    <w:p>
      <w:pPr>
        <w:ind w:left="210" w:leftChars="100"/>
        <w:jc w:val="left"/>
      </w:pPr>
      <w:r>
        <w:rPr>
          <w:rFonts w:hint="eastAsia"/>
        </w:rPr>
        <w:t>October</w:t>
      </w:r>
      <w:r>
        <w:t xml:space="preserve"> </w:t>
      </w:r>
      <w:r>
        <w:rPr>
          <w:rFonts w:hint="eastAsia"/>
        </w:rPr>
        <w:t>2</w:t>
      </w:r>
      <w:r>
        <w:t>0, 20</w:t>
      </w:r>
      <w:r>
        <w:rPr>
          <w:rFonts w:hint="eastAsia"/>
        </w:rPr>
        <w:t>24</w:t>
      </w:r>
      <w:r>
        <w:t>: Conference fieldtrips (optional)</w:t>
      </w:r>
    </w:p>
    <w:p>
      <w:pPr>
        <w:keepNext w:val="0"/>
        <w:keepLines w:val="0"/>
        <w:pageBreakBefore w:val="0"/>
        <w:widowControl w:val="0"/>
        <w:kinsoku/>
        <w:wordWrap/>
        <w:overflowPunct/>
        <w:topLinePunct w:val="0"/>
        <w:autoSpaceDE/>
        <w:autoSpaceDN/>
        <w:bidi w:val="0"/>
        <w:adjustRightInd/>
        <w:snapToGrid/>
        <w:spacing w:line="192" w:lineRule="auto"/>
        <w:ind w:left="210" w:leftChars="100"/>
        <w:textAlignment w:val="auto"/>
        <w:rPr>
          <w:rFonts w:eastAsia="Times New Roman" w:cstheme="minorHAnsi"/>
          <w:kern w:val="0"/>
          <w:sz w:val="22"/>
          <w:highlight w:val="yellow"/>
        </w:rPr>
      </w:pPr>
      <w:r>
        <w:rPr>
          <w:rFonts w:cstheme="minorHAnsi"/>
        </w:rPr>
        <w:t xml:space="preserve"> </w:t>
      </w:r>
    </w:p>
    <w:p>
      <w:pPr>
        <w:spacing w:after="120"/>
        <w:ind w:left="210" w:leftChars="100"/>
        <w:rPr>
          <w:rFonts w:cstheme="minorHAnsi"/>
          <w:b/>
        </w:rPr>
      </w:pPr>
      <w:r>
        <w:rPr>
          <w:rFonts w:cstheme="minorHAnsi"/>
          <w:b/>
        </w:rPr>
        <w:t>ABSTRACT SUBMISSION:</w:t>
      </w:r>
    </w:p>
    <w:p>
      <w:pPr>
        <w:spacing w:after="120"/>
        <w:ind w:left="210" w:leftChars="100"/>
        <w:rPr>
          <w:rFonts w:cstheme="minorHAnsi"/>
        </w:rPr>
      </w:pPr>
      <w:r>
        <w:rPr>
          <w:rFonts w:ascii="Arial" w:hAnsi="Arial" w:cs="Arial"/>
          <w:kern w:val="0"/>
          <w:sz w:val="18"/>
          <w:szCs w:val="18"/>
        </w:rPr>
        <w:t xml:space="preserve">All participants are invited to submit an abstract of one page in length. Official language is English. Abstracts must be in Microsoft Word format only through the abstract template with at most one figure or table, and shall be sent in electronic form no later than </w:t>
      </w:r>
      <w:r>
        <w:rPr>
          <w:rFonts w:hint="eastAsia" w:ascii="Arial" w:hAnsi="Arial" w:cs="Arial"/>
          <w:b/>
          <w:color w:val="FF0000"/>
          <w:kern w:val="0"/>
          <w:sz w:val="18"/>
          <w:szCs w:val="18"/>
        </w:rPr>
        <w:t>July</w:t>
      </w:r>
      <w:r>
        <w:rPr>
          <w:rFonts w:ascii="Arial" w:hAnsi="Arial" w:cs="Arial"/>
          <w:b/>
          <w:color w:val="FF0000"/>
          <w:kern w:val="0"/>
          <w:sz w:val="18"/>
          <w:szCs w:val="18"/>
        </w:rPr>
        <w:t xml:space="preserve"> </w:t>
      </w:r>
      <w:r>
        <w:rPr>
          <w:rFonts w:hint="eastAsia" w:ascii="Arial" w:hAnsi="Arial" w:cs="Arial"/>
          <w:b/>
          <w:color w:val="FF0000"/>
          <w:kern w:val="0"/>
          <w:sz w:val="18"/>
          <w:szCs w:val="18"/>
          <w:lang w:val="en-US" w:eastAsia="zh-CN"/>
        </w:rPr>
        <w:t>20</w:t>
      </w:r>
      <w:r>
        <w:rPr>
          <w:rFonts w:ascii="Arial" w:hAnsi="Arial" w:cs="Arial"/>
          <w:b/>
          <w:color w:val="FF0000"/>
          <w:kern w:val="0"/>
          <w:sz w:val="18"/>
          <w:szCs w:val="18"/>
        </w:rPr>
        <w:t>th 20</w:t>
      </w:r>
      <w:r>
        <w:rPr>
          <w:rFonts w:hint="eastAsia" w:ascii="Arial" w:hAnsi="Arial" w:cs="Arial"/>
          <w:b/>
          <w:color w:val="FF0000"/>
          <w:kern w:val="0"/>
          <w:sz w:val="18"/>
          <w:szCs w:val="18"/>
        </w:rPr>
        <w:t>24</w:t>
      </w:r>
      <w:r>
        <w:rPr>
          <w:rFonts w:ascii="Arial" w:hAnsi="Arial" w:cs="Arial"/>
          <w:kern w:val="0"/>
          <w:sz w:val="18"/>
          <w:szCs w:val="18"/>
        </w:rPr>
        <w:t xml:space="preserve">. Abstract template can be downloaded from the congress homepage </w:t>
      </w:r>
      <w:r>
        <w:fldChar w:fldCharType="begin"/>
      </w:r>
      <w:r>
        <w:instrText xml:space="preserve"> HYPERLINK "http://www.aaapg.org" </w:instrText>
      </w:r>
      <w:r>
        <w:fldChar w:fldCharType="separate"/>
      </w:r>
      <w:r>
        <w:rPr>
          <w:rStyle w:val="15"/>
          <w:rFonts w:ascii="Arial" w:hAnsi="Arial" w:eastAsia="宋体" w:cs="Arial"/>
          <w:kern w:val="0"/>
          <w:sz w:val="18"/>
          <w:szCs w:val="18"/>
        </w:rPr>
        <w:t>http://www.aaapg.org</w:t>
      </w:r>
      <w:r>
        <w:rPr>
          <w:rStyle w:val="15"/>
          <w:rFonts w:ascii="Arial" w:hAnsi="Arial" w:eastAsia="宋体" w:cs="Arial"/>
          <w:kern w:val="0"/>
          <w:sz w:val="18"/>
          <w:szCs w:val="18"/>
        </w:rPr>
        <w:fldChar w:fldCharType="end"/>
      </w:r>
      <w:r>
        <w:rPr>
          <w:rStyle w:val="15"/>
          <w:rFonts w:ascii="Arial" w:hAnsi="Arial" w:eastAsia="宋体" w:cs="Arial"/>
          <w:kern w:val="0"/>
          <w:sz w:val="18"/>
          <w:szCs w:val="18"/>
          <w:lang w:val="es-ES"/>
        </w:rPr>
        <w:t>.</w:t>
      </w:r>
      <w:r>
        <w:rPr>
          <w:rStyle w:val="15"/>
          <w:rFonts w:hint="eastAsia" w:ascii="Arial" w:hAnsi="Arial" w:eastAsia="宋体" w:cs="Arial"/>
          <w:kern w:val="0"/>
          <w:sz w:val="18"/>
          <w:szCs w:val="18"/>
        </w:rPr>
        <w:t>cn</w:t>
      </w:r>
      <w:bookmarkStart w:id="1" w:name="OLE_LINK2"/>
      <w:r>
        <w:rPr>
          <w:rStyle w:val="15"/>
          <w:rFonts w:hint="eastAsia" w:ascii="Arial" w:hAnsi="Arial" w:eastAsia="宋体" w:cs="Arial"/>
          <w:kern w:val="0"/>
          <w:sz w:val="18"/>
          <w:szCs w:val="18"/>
        </w:rPr>
        <w:t>.</w:t>
      </w:r>
      <w:r>
        <w:rPr>
          <w:rStyle w:val="15"/>
          <w:rFonts w:hint="eastAsia" w:ascii="Arial" w:hAnsi="Arial" w:eastAsia="宋体" w:cs="Arial"/>
          <w:kern w:val="0"/>
          <w:sz w:val="18"/>
          <w:szCs w:val="18"/>
          <w:u w:val="none"/>
        </w:rPr>
        <w:t xml:space="preserve"> </w:t>
      </w:r>
      <w:r>
        <w:rPr>
          <w:rFonts w:ascii="Arial" w:hAnsi="Arial" w:cs="Arial"/>
          <w:kern w:val="0"/>
          <w:sz w:val="18"/>
          <w:szCs w:val="18"/>
        </w:rPr>
        <w:t xml:space="preserve">Abstracts shall </w:t>
      </w:r>
      <w:r>
        <w:rPr>
          <w:rFonts w:hint="eastAsia" w:ascii="Arial" w:hAnsi="Arial" w:cs="Arial"/>
          <w:kern w:val="0"/>
          <w:sz w:val="18"/>
          <w:szCs w:val="18"/>
        </w:rPr>
        <w:t xml:space="preserve">also </w:t>
      </w:r>
      <w:r>
        <w:rPr>
          <w:rFonts w:ascii="Arial" w:hAnsi="Arial" w:cs="Arial"/>
          <w:kern w:val="0"/>
          <w:sz w:val="18"/>
          <w:szCs w:val="18"/>
        </w:rPr>
        <w:t>be submitted</w:t>
      </w:r>
      <w:bookmarkEnd w:id="1"/>
      <w:r>
        <w:rPr>
          <w:rFonts w:ascii="Arial" w:hAnsi="Arial" w:cs="Arial"/>
          <w:kern w:val="0"/>
          <w:sz w:val="18"/>
          <w:szCs w:val="18"/>
        </w:rPr>
        <w:t xml:space="preserve"> through</w:t>
      </w:r>
      <w:r>
        <w:rPr>
          <w:rFonts w:hint="eastAsia" w:ascii="Arial" w:hAnsi="Arial" w:cs="Arial"/>
          <w:kern w:val="0"/>
          <w:sz w:val="18"/>
          <w:szCs w:val="18"/>
        </w:rPr>
        <w:t xml:space="preserve"> above Website. </w:t>
      </w:r>
    </w:p>
    <w:p>
      <w:pPr>
        <w:ind w:left="210" w:leftChars="100"/>
        <w:rPr>
          <w:rFonts w:cstheme="minorHAnsi"/>
        </w:rPr>
      </w:pPr>
      <w:bookmarkStart w:id="2" w:name="OLE_LINK1"/>
      <w:r>
        <w:rPr>
          <w:rFonts w:hint="eastAsia"/>
        </w:rPr>
        <w:t xml:space="preserve">Early bird </w:t>
      </w:r>
      <w:r>
        <w:rPr>
          <w:rFonts w:cstheme="minorHAnsi"/>
        </w:rPr>
        <w:t xml:space="preserve">Registration fees：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3"/>
        <w:gridCol w:w="2044"/>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p>
        </w:tc>
        <w:tc>
          <w:tcPr>
            <w:tcW w:w="2044" w:type="dxa"/>
          </w:tcPr>
          <w:p>
            <w:pPr>
              <w:jc w:val="center"/>
              <w:rPr>
                <w:rFonts w:cstheme="minorHAnsi"/>
              </w:rPr>
            </w:pPr>
            <w:r>
              <w:rPr>
                <w:rFonts w:cstheme="minorHAnsi"/>
              </w:rPr>
              <w:t>National</w:t>
            </w:r>
          </w:p>
        </w:tc>
        <w:tc>
          <w:tcPr>
            <w:tcW w:w="2044" w:type="dxa"/>
          </w:tcPr>
          <w:p>
            <w:pPr>
              <w:jc w:val="center"/>
              <w:rPr>
                <w:rFonts w:cstheme="minorHAnsi"/>
              </w:rPr>
            </w:pPr>
            <w:r>
              <w:rPr>
                <w:rFonts w:cstheme="minorHAnsi"/>
              </w:rPr>
              <w:t>International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r>
              <w:rPr>
                <w:rFonts w:cstheme="minorHAnsi"/>
              </w:rPr>
              <w:t>Industry / Academia:</w:t>
            </w:r>
          </w:p>
        </w:tc>
        <w:tc>
          <w:tcPr>
            <w:tcW w:w="2044" w:type="dxa"/>
          </w:tcPr>
          <w:p>
            <w:pPr>
              <w:jc w:val="center"/>
              <w:rPr>
                <w:rFonts w:cstheme="minorHAnsi"/>
              </w:rPr>
            </w:pPr>
            <w:r>
              <w:rPr>
                <w:rFonts w:hint="eastAsia" w:cstheme="minorHAnsi"/>
              </w:rPr>
              <w:t>￥</w:t>
            </w:r>
            <w:r>
              <w:rPr>
                <w:rFonts w:cstheme="minorHAnsi"/>
              </w:rPr>
              <w:t>2</w:t>
            </w:r>
            <w:r>
              <w:rPr>
                <w:rFonts w:hint="eastAsia" w:cstheme="minorHAnsi"/>
              </w:rPr>
              <w:t>5</w:t>
            </w:r>
            <w:r>
              <w:rPr>
                <w:rFonts w:cstheme="minorHAnsi"/>
              </w:rPr>
              <w:t>00</w:t>
            </w:r>
          </w:p>
        </w:tc>
        <w:tc>
          <w:tcPr>
            <w:tcW w:w="2044" w:type="dxa"/>
          </w:tcPr>
          <w:p>
            <w:pPr>
              <w:jc w:val="center"/>
              <w:rPr>
                <w:rFonts w:cstheme="minorHAnsi"/>
              </w:rPr>
            </w:pPr>
            <w:r>
              <w:rPr>
                <w:rFonts w:hint="eastAsia" w:cstheme="minorHAnsi"/>
                <w:lang w:val="en-GB"/>
              </w:rPr>
              <w:t>USD $</w:t>
            </w:r>
            <w:r>
              <w:rPr>
                <w:rFonts w:cstheme="minorHAnsi"/>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r>
              <w:rPr>
                <w:rFonts w:cstheme="minorHAnsi"/>
              </w:rPr>
              <w:t>Students:</w:t>
            </w:r>
          </w:p>
        </w:tc>
        <w:tc>
          <w:tcPr>
            <w:tcW w:w="2044" w:type="dxa"/>
          </w:tcPr>
          <w:p>
            <w:pPr>
              <w:jc w:val="center"/>
              <w:rPr>
                <w:rFonts w:cstheme="minorHAnsi"/>
              </w:rPr>
            </w:pPr>
            <w:r>
              <w:rPr>
                <w:rFonts w:hint="eastAsia" w:cstheme="minorHAnsi"/>
              </w:rPr>
              <w:t>￥</w:t>
            </w:r>
            <w:r>
              <w:rPr>
                <w:rFonts w:cstheme="minorHAnsi"/>
              </w:rPr>
              <w:t>1200</w:t>
            </w:r>
          </w:p>
        </w:tc>
        <w:tc>
          <w:tcPr>
            <w:tcW w:w="2044" w:type="dxa"/>
          </w:tcPr>
          <w:p>
            <w:pPr>
              <w:jc w:val="center"/>
              <w:rPr>
                <w:rFonts w:cstheme="minorHAnsi"/>
              </w:rPr>
            </w:pPr>
            <w:r>
              <w:rPr>
                <w:rFonts w:hint="eastAsia" w:cstheme="minorHAnsi"/>
                <w:lang w:val="en-GB"/>
              </w:rPr>
              <w:t>USD $</w:t>
            </w:r>
            <w:r>
              <w:rPr>
                <w:rFonts w:cstheme="minorHAnsi"/>
              </w:rPr>
              <w:t>200</w:t>
            </w:r>
          </w:p>
        </w:tc>
      </w:tr>
      <w:bookmarkEnd w:id="2"/>
    </w:tbl>
    <w:p>
      <w:pPr>
        <w:ind w:left="210" w:leftChars="100"/>
        <w:rPr>
          <w:rFonts w:cstheme="minorHAnsi"/>
        </w:rPr>
      </w:pPr>
      <w:r>
        <w:t>On-site registration</w:t>
      </w:r>
      <w:r>
        <w:rPr>
          <w:rFonts w:cstheme="minorHAnsi"/>
        </w:rPr>
        <w:t xml:space="preserve"> fees：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3"/>
        <w:gridCol w:w="2044"/>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p>
        </w:tc>
        <w:tc>
          <w:tcPr>
            <w:tcW w:w="2044" w:type="dxa"/>
          </w:tcPr>
          <w:p>
            <w:pPr>
              <w:jc w:val="center"/>
              <w:rPr>
                <w:rFonts w:cstheme="minorHAnsi"/>
              </w:rPr>
            </w:pPr>
            <w:r>
              <w:rPr>
                <w:rFonts w:cstheme="minorHAnsi"/>
              </w:rPr>
              <w:t>National</w:t>
            </w:r>
          </w:p>
        </w:tc>
        <w:tc>
          <w:tcPr>
            <w:tcW w:w="2044" w:type="dxa"/>
          </w:tcPr>
          <w:p>
            <w:pPr>
              <w:jc w:val="center"/>
              <w:rPr>
                <w:rFonts w:cstheme="minorHAnsi"/>
              </w:rPr>
            </w:pPr>
            <w:r>
              <w:rPr>
                <w:rFonts w:cstheme="minorHAnsi"/>
              </w:rPr>
              <w:t>International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r>
              <w:rPr>
                <w:rFonts w:cstheme="minorHAnsi"/>
              </w:rPr>
              <w:t>Industry / Academia:</w:t>
            </w:r>
          </w:p>
        </w:tc>
        <w:tc>
          <w:tcPr>
            <w:tcW w:w="2044" w:type="dxa"/>
          </w:tcPr>
          <w:p>
            <w:pPr>
              <w:jc w:val="center"/>
              <w:rPr>
                <w:rFonts w:cstheme="minorHAnsi"/>
              </w:rPr>
            </w:pPr>
            <w:r>
              <w:rPr>
                <w:rFonts w:hint="eastAsia" w:cstheme="minorHAnsi"/>
              </w:rPr>
              <w:t>￥</w:t>
            </w:r>
            <w:r>
              <w:rPr>
                <w:rFonts w:cstheme="minorHAnsi"/>
              </w:rPr>
              <w:t>2800</w:t>
            </w:r>
          </w:p>
        </w:tc>
        <w:tc>
          <w:tcPr>
            <w:tcW w:w="2044" w:type="dxa"/>
          </w:tcPr>
          <w:p>
            <w:pPr>
              <w:jc w:val="center"/>
              <w:rPr>
                <w:rFonts w:cstheme="minorHAnsi"/>
              </w:rPr>
            </w:pPr>
            <w:r>
              <w:rPr>
                <w:rFonts w:hint="eastAsia" w:cstheme="minorHAnsi"/>
                <w:lang w:val="en-GB"/>
              </w:rPr>
              <w:t>USD $</w:t>
            </w:r>
            <w:r>
              <w:rPr>
                <w:rFonts w:hint="eastAsia" w:cstheme="minorHAnsi"/>
              </w:rPr>
              <w:t>50</w:t>
            </w:r>
            <w:r>
              <w:rPr>
                <w:rFonts w:cstheme="minorHAnsi"/>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r>
              <w:rPr>
                <w:rFonts w:cstheme="minorHAnsi"/>
              </w:rPr>
              <w:t>Students:</w:t>
            </w:r>
          </w:p>
        </w:tc>
        <w:tc>
          <w:tcPr>
            <w:tcW w:w="2044" w:type="dxa"/>
          </w:tcPr>
          <w:p>
            <w:pPr>
              <w:jc w:val="center"/>
              <w:rPr>
                <w:rFonts w:cstheme="minorHAnsi"/>
              </w:rPr>
            </w:pPr>
            <w:r>
              <w:rPr>
                <w:rFonts w:hint="eastAsia" w:cstheme="minorHAnsi"/>
              </w:rPr>
              <w:t>￥</w:t>
            </w:r>
            <w:r>
              <w:rPr>
                <w:rFonts w:cstheme="minorHAnsi"/>
              </w:rPr>
              <w:t>1300</w:t>
            </w:r>
          </w:p>
        </w:tc>
        <w:tc>
          <w:tcPr>
            <w:tcW w:w="2044" w:type="dxa"/>
          </w:tcPr>
          <w:p>
            <w:pPr>
              <w:jc w:val="center"/>
              <w:rPr>
                <w:rFonts w:cstheme="minorHAnsi"/>
              </w:rPr>
            </w:pPr>
            <w:r>
              <w:rPr>
                <w:rFonts w:hint="eastAsia" w:cstheme="minorHAnsi"/>
                <w:lang w:val="en-GB"/>
              </w:rPr>
              <w:t>USD $</w:t>
            </w:r>
            <w:r>
              <w:rPr>
                <w:rFonts w:cstheme="minorHAnsi"/>
              </w:rPr>
              <w:t>2</w:t>
            </w:r>
            <w:r>
              <w:rPr>
                <w:rFonts w:hint="eastAsia" w:cstheme="minorHAnsi"/>
              </w:rPr>
              <w:t>5</w:t>
            </w:r>
            <w:r>
              <w:rPr>
                <w:rFonts w:cstheme="minorHAnsi"/>
              </w:rPr>
              <w:t>0</w:t>
            </w:r>
          </w:p>
        </w:tc>
      </w:tr>
    </w:tbl>
    <w:p>
      <w:pPr>
        <w:widowControl/>
        <w:ind w:left="210" w:leftChars="100"/>
        <w:rPr>
          <w:rFonts w:hint="eastAsia" w:ascii="Arial" w:hAnsi="Arial" w:cs="Arial"/>
          <w:b/>
          <w:kern w:val="0"/>
          <w:sz w:val="18"/>
          <w:szCs w:val="18"/>
        </w:rPr>
      </w:pPr>
    </w:p>
    <w:p>
      <w:pPr>
        <w:widowControl/>
        <w:ind w:left="210" w:leftChars="100"/>
        <w:rPr>
          <w:rFonts w:ascii="Arial" w:hAnsi="Arial" w:cs="Arial"/>
          <w:b/>
          <w:kern w:val="0"/>
          <w:sz w:val="18"/>
          <w:szCs w:val="18"/>
        </w:rPr>
      </w:pPr>
      <w:r>
        <w:rPr>
          <w:rFonts w:hint="eastAsia" w:ascii="Arial" w:hAnsi="Arial" w:cs="Arial"/>
          <w:b/>
          <w:kern w:val="0"/>
          <w:sz w:val="18"/>
          <w:szCs w:val="18"/>
        </w:rPr>
        <w:t>FIELD TRIP</w:t>
      </w:r>
    </w:p>
    <w:p>
      <w:pPr>
        <w:spacing w:after="120"/>
        <w:ind w:left="210" w:leftChars="100"/>
        <w:rPr>
          <w:rFonts w:cstheme="minorHAnsi"/>
        </w:rPr>
      </w:pPr>
      <w:bookmarkStart w:id="3" w:name="OLE_LINK5"/>
      <w:r>
        <w:rPr>
          <w:rFonts w:hint="eastAsia" w:cstheme="minorHAnsi"/>
        </w:rPr>
        <w:t>Jixian</w:t>
      </w:r>
      <w:bookmarkEnd w:id="3"/>
      <w:r>
        <w:rPr>
          <w:rFonts w:hint="eastAsia" w:cstheme="minorHAnsi"/>
        </w:rPr>
        <w:t xml:space="preserve"> Standard Stratigraphic Section of the Mesoproterozoic Field Excursion in Tianjin, China.</w:t>
      </w:r>
    </w:p>
    <w:p>
      <w:pPr>
        <w:spacing w:after="120"/>
        <w:ind w:left="210" w:leftChars="100"/>
        <w:rPr>
          <w:rFonts w:cstheme="minorHAnsi"/>
        </w:rPr>
      </w:pPr>
      <w:r>
        <w:rPr>
          <w:rFonts w:hint="eastAsia" w:cstheme="minorHAnsi"/>
        </w:rPr>
        <w:t>The outcrops involve Gaoyuzhuang, Yangzhuang, Wumishan, Hongshuizhuang and Tieling Formations of Calymmian System (1.6-1.4Ga) and Xiamaling Formation of Ectasian System (1.4-1.2Ga).</w:t>
      </w:r>
    </w:p>
    <w:p>
      <w:pPr>
        <w:pStyle w:val="5"/>
        <w:spacing w:before="156" w:beforeLines="50"/>
        <w:ind w:left="4531" w:leftChars="100" w:hanging="4321"/>
        <w:rPr>
          <w:rFonts w:asciiTheme="minorHAnsi" w:hAnsiTheme="minorHAnsi" w:eastAsiaTheme="minorEastAsia" w:cstheme="minorBidi"/>
          <w:sz w:val="21"/>
          <w:szCs w:val="22"/>
        </w:rPr>
      </w:pPr>
      <w:r>
        <w:rPr>
          <w:rFonts w:hint="eastAsia" w:asciiTheme="minorHAnsi" w:hAnsiTheme="minorHAnsi" w:eastAsiaTheme="minorEastAsia" w:cstheme="minorBidi"/>
          <w:sz w:val="21"/>
          <w:szCs w:val="22"/>
        </w:rPr>
        <w:t xml:space="preserve">Early </w:t>
      </w:r>
      <w:bookmarkStart w:id="4" w:name="OLE_LINK4"/>
      <w:r>
        <w:rPr>
          <w:rFonts w:hint="eastAsia" w:asciiTheme="minorHAnsi" w:hAnsiTheme="minorHAnsi" w:eastAsiaTheme="minorEastAsia" w:cstheme="minorBidi"/>
          <w:sz w:val="21"/>
          <w:szCs w:val="22"/>
        </w:rPr>
        <w:t>optional field trip</w:t>
      </w:r>
      <w:bookmarkEnd w:id="4"/>
      <w:r>
        <w:rPr>
          <w:rFonts w:hint="eastAsia" w:asciiTheme="minorHAnsi" w:hAnsiTheme="minorHAnsi" w:eastAsiaTheme="minorEastAsia" w:cstheme="minorBidi"/>
          <w:sz w:val="21"/>
          <w:szCs w:val="22"/>
        </w:rPr>
        <w:t xml:space="preserve"> fees：</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3"/>
        <w:gridCol w:w="2044"/>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2043" w:type="dxa"/>
          </w:tcPr>
          <w:p>
            <w:pPr>
              <w:jc w:val="center"/>
              <w:rPr>
                <w:rFonts w:cstheme="minorHAnsi"/>
              </w:rPr>
            </w:pPr>
          </w:p>
        </w:tc>
        <w:tc>
          <w:tcPr>
            <w:tcW w:w="2044" w:type="dxa"/>
          </w:tcPr>
          <w:p>
            <w:pPr>
              <w:jc w:val="center"/>
              <w:rPr>
                <w:rFonts w:cstheme="minorHAnsi"/>
              </w:rPr>
            </w:pPr>
            <w:r>
              <w:rPr>
                <w:rFonts w:cstheme="minorHAnsi"/>
              </w:rPr>
              <w:t>National</w:t>
            </w:r>
          </w:p>
        </w:tc>
        <w:tc>
          <w:tcPr>
            <w:tcW w:w="2044" w:type="dxa"/>
          </w:tcPr>
          <w:p>
            <w:pPr>
              <w:jc w:val="center"/>
              <w:rPr>
                <w:rFonts w:cstheme="minorHAnsi"/>
              </w:rPr>
            </w:pPr>
            <w:r>
              <w:rPr>
                <w:rFonts w:cstheme="minorHAnsi"/>
              </w:rPr>
              <w:t>International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r>
              <w:rPr>
                <w:rFonts w:cstheme="minorHAnsi"/>
              </w:rPr>
              <w:t>Industry / Academia:</w:t>
            </w:r>
          </w:p>
        </w:tc>
        <w:tc>
          <w:tcPr>
            <w:tcW w:w="2044" w:type="dxa"/>
          </w:tcPr>
          <w:p>
            <w:pPr>
              <w:jc w:val="center"/>
              <w:rPr>
                <w:rFonts w:cstheme="minorHAnsi"/>
              </w:rPr>
            </w:pPr>
            <w:r>
              <w:rPr>
                <w:rFonts w:hint="eastAsia" w:cstheme="minorHAnsi"/>
              </w:rPr>
              <w:t>￥4</w:t>
            </w:r>
            <w:r>
              <w:rPr>
                <w:rFonts w:cstheme="minorHAnsi"/>
              </w:rPr>
              <w:t>00</w:t>
            </w:r>
          </w:p>
        </w:tc>
        <w:tc>
          <w:tcPr>
            <w:tcW w:w="2044" w:type="dxa"/>
          </w:tcPr>
          <w:p>
            <w:pPr>
              <w:jc w:val="center"/>
              <w:rPr>
                <w:rFonts w:cstheme="minorHAnsi"/>
              </w:rPr>
            </w:pPr>
            <w:r>
              <w:rPr>
                <w:rFonts w:hint="eastAsia" w:cstheme="minorHAnsi"/>
                <w:lang w:val="en-GB"/>
              </w:rPr>
              <w:t>USD $</w:t>
            </w:r>
            <w:r>
              <w:rPr>
                <w:rFonts w:cstheme="minorHAnsi"/>
                <w:lang w:val="en-GB"/>
              </w:rPr>
              <w:t>5</w:t>
            </w:r>
            <w:r>
              <w:rPr>
                <w:rFonts w:hint="eastAsia" w:cstheme="minorHAnsi"/>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r>
              <w:rPr>
                <w:rFonts w:cstheme="minorHAnsi"/>
              </w:rPr>
              <w:t>Students:</w:t>
            </w:r>
          </w:p>
        </w:tc>
        <w:tc>
          <w:tcPr>
            <w:tcW w:w="2044" w:type="dxa"/>
          </w:tcPr>
          <w:p>
            <w:pPr>
              <w:jc w:val="center"/>
              <w:rPr>
                <w:rFonts w:cstheme="minorHAnsi"/>
              </w:rPr>
            </w:pPr>
            <w:r>
              <w:rPr>
                <w:rFonts w:hint="eastAsia" w:cstheme="minorHAnsi"/>
              </w:rPr>
              <w:t>￥20</w:t>
            </w:r>
            <w:r>
              <w:rPr>
                <w:rFonts w:cstheme="minorHAnsi"/>
              </w:rPr>
              <w:t>0</w:t>
            </w:r>
          </w:p>
        </w:tc>
        <w:tc>
          <w:tcPr>
            <w:tcW w:w="2044" w:type="dxa"/>
          </w:tcPr>
          <w:p>
            <w:pPr>
              <w:jc w:val="center"/>
              <w:rPr>
                <w:rFonts w:cstheme="minorHAnsi"/>
              </w:rPr>
            </w:pPr>
            <w:r>
              <w:rPr>
                <w:rFonts w:hint="eastAsia" w:cstheme="minorHAnsi"/>
                <w:lang w:val="en-GB"/>
              </w:rPr>
              <w:t>USD $</w:t>
            </w:r>
            <w:r>
              <w:rPr>
                <w:rFonts w:cstheme="minorHAnsi"/>
              </w:rPr>
              <w:t>25</w:t>
            </w:r>
          </w:p>
        </w:tc>
      </w:tr>
    </w:tbl>
    <w:p>
      <w:pPr>
        <w:ind w:left="210" w:leftChars="100"/>
        <w:rPr>
          <w:rFonts w:cstheme="minorHAnsi"/>
        </w:rPr>
      </w:pPr>
      <w:r>
        <w:t xml:space="preserve">On-site </w:t>
      </w:r>
      <w:r>
        <w:rPr>
          <w:rFonts w:hint="eastAsia"/>
        </w:rPr>
        <w:t>optional field trip</w:t>
      </w:r>
      <w:r>
        <w:rPr>
          <w:rFonts w:cstheme="minorHAnsi"/>
        </w:rPr>
        <w:t xml:space="preserve"> fees：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3"/>
        <w:gridCol w:w="2044"/>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p>
        </w:tc>
        <w:tc>
          <w:tcPr>
            <w:tcW w:w="2044" w:type="dxa"/>
          </w:tcPr>
          <w:p>
            <w:pPr>
              <w:jc w:val="center"/>
              <w:rPr>
                <w:rFonts w:cstheme="minorHAnsi"/>
              </w:rPr>
            </w:pPr>
            <w:r>
              <w:rPr>
                <w:rFonts w:cstheme="minorHAnsi"/>
              </w:rPr>
              <w:t>National</w:t>
            </w:r>
          </w:p>
        </w:tc>
        <w:tc>
          <w:tcPr>
            <w:tcW w:w="2044" w:type="dxa"/>
          </w:tcPr>
          <w:p>
            <w:pPr>
              <w:jc w:val="center"/>
              <w:rPr>
                <w:rFonts w:cstheme="minorHAnsi"/>
              </w:rPr>
            </w:pPr>
            <w:r>
              <w:rPr>
                <w:rFonts w:cstheme="minorHAnsi"/>
              </w:rPr>
              <w:t>International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9" w:hRule="atLeast"/>
          <w:jc w:val="center"/>
        </w:trPr>
        <w:tc>
          <w:tcPr>
            <w:tcW w:w="2043" w:type="dxa"/>
          </w:tcPr>
          <w:p>
            <w:pPr>
              <w:jc w:val="center"/>
              <w:rPr>
                <w:rFonts w:cstheme="minorHAnsi"/>
              </w:rPr>
            </w:pPr>
            <w:r>
              <w:rPr>
                <w:rFonts w:cstheme="minorHAnsi"/>
              </w:rPr>
              <w:t>Industry / Academia:</w:t>
            </w:r>
          </w:p>
        </w:tc>
        <w:tc>
          <w:tcPr>
            <w:tcW w:w="2044" w:type="dxa"/>
          </w:tcPr>
          <w:p>
            <w:pPr>
              <w:jc w:val="center"/>
              <w:rPr>
                <w:rFonts w:cstheme="minorHAnsi"/>
              </w:rPr>
            </w:pPr>
            <w:r>
              <w:rPr>
                <w:rFonts w:hint="eastAsia" w:cstheme="minorHAnsi"/>
              </w:rPr>
              <w:t>￥6</w:t>
            </w:r>
            <w:r>
              <w:rPr>
                <w:rFonts w:cstheme="minorHAnsi"/>
              </w:rPr>
              <w:t>00</w:t>
            </w:r>
          </w:p>
        </w:tc>
        <w:tc>
          <w:tcPr>
            <w:tcW w:w="2044" w:type="dxa"/>
          </w:tcPr>
          <w:p>
            <w:pPr>
              <w:jc w:val="center"/>
              <w:rPr>
                <w:rFonts w:cstheme="minorHAnsi"/>
              </w:rPr>
            </w:pPr>
            <w:r>
              <w:rPr>
                <w:rFonts w:hint="eastAsia" w:cstheme="minorHAnsi"/>
                <w:lang w:val="en-GB"/>
              </w:rPr>
              <w:t>USD $</w:t>
            </w:r>
            <w:r>
              <w:rPr>
                <w:rFonts w:cstheme="minorHAnsi"/>
                <w:lang w:val="en-GB"/>
              </w:rPr>
              <w:t>8</w:t>
            </w:r>
            <w:r>
              <w:rPr>
                <w:rFonts w:cstheme="minorHAnsi"/>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3" w:type="dxa"/>
          </w:tcPr>
          <w:p>
            <w:pPr>
              <w:jc w:val="center"/>
              <w:rPr>
                <w:rFonts w:cstheme="minorHAnsi"/>
              </w:rPr>
            </w:pPr>
            <w:r>
              <w:rPr>
                <w:rFonts w:cstheme="minorHAnsi"/>
              </w:rPr>
              <w:t>Students:</w:t>
            </w:r>
          </w:p>
        </w:tc>
        <w:tc>
          <w:tcPr>
            <w:tcW w:w="2044" w:type="dxa"/>
          </w:tcPr>
          <w:p>
            <w:pPr>
              <w:jc w:val="center"/>
              <w:rPr>
                <w:rFonts w:cstheme="minorHAnsi"/>
              </w:rPr>
            </w:pPr>
            <w:r>
              <w:rPr>
                <w:rFonts w:hint="eastAsia" w:cstheme="minorHAnsi"/>
              </w:rPr>
              <w:t>￥30</w:t>
            </w:r>
            <w:r>
              <w:rPr>
                <w:rFonts w:cstheme="minorHAnsi"/>
              </w:rPr>
              <w:t>0</w:t>
            </w:r>
          </w:p>
        </w:tc>
        <w:tc>
          <w:tcPr>
            <w:tcW w:w="2044" w:type="dxa"/>
          </w:tcPr>
          <w:p>
            <w:pPr>
              <w:jc w:val="center"/>
              <w:rPr>
                <w:rFonts w:cstheme="minorHAnsi"/>
              </w:rPr>
            </w:pPr>
            <w:r>
              <w:rPr>
                <w:rFonts w:hint="eastAsia" w:cstheme="minorHAnsi"/>
                <w:lang w:val="en-GB"/>
              </w:rPr>
              <w:t>USD $</w:t>
            </w:r>
            <w:r>
              <w:rPr>
                <w:rFonts w:cstheme="minorHAnsi"/>
                <w:lang w:val="en-GB"/>
              </w:rPr>
              <w:t>4</w:t>
            </w:r>
            <w:r>
              <w:rPr>
                <w:rFonts w:hint="eastAsia" w:cstheme="minorHAnsi"/>
              </w:rPr>
              <w:t>0</w:t>
            </w:r>
          </w:p>
        </w:tc>
      </w:tr>
    </w:tbl>
    <w:p>
      <w:pPr>
        <w:widowControl/>
        <w:ind w:left="210" w:leftChars="100"/>
        <w:rPr>
          <w:rFonts w:cstheme="minorHAnsi"/>
          <w:b/>
          <w:bCs/>
        </w:rPr>
      </w:pPr>
    </w:p>
    <w:p>
      <w:pPr>
        <w:widowControl/>
        <w:rPr>
          <w:rFonts w:cstheme="minorHAnsi"/>
          <w:b/>
          <w:bCs/>
          <w:sz w:val="24"/>
        </w:rPr>
      </w:pPr>
      <w:r>
        <w:rPr>
          <w:rFonts w:cstheme="minorHAnsi"/>
          <w:b/>
          <w:bCs/>
          <w:sz w:val="24"/>
        </w:rPr>
        <w:t>3. EXECUTIVE COUNCIL MEMBERS</w:t>
      </w:r>
    </w:p>
    <w:p>
      <w:pPr>
        <w:spacing w:line="360" w:lineRule="auto"/>
        <w:ind w:left="420" w:leftChars="100" w:hanging="210" w:hangingChars="100"/>
        <w:rPr>
          <w:rFonts w:eastAsia="Arial Unicode MS" w:cstheme="minorHAnsi"/>
          <w:b/>
          <w:szCs w:val="21"/>
        </w:rPr>
      </w:pPr>
      <w:r>
        <w:rPr>
          <w:rFonts w:eastAsia="Arial Unicode MS" w:cstheme="minorHAnsi"/>
          <w:b/>
          <w:szCs w:val="21"/>
        </w:rPr>
        <w:t>Chairman</w:t>
      </w:r>
    </w:p>
    <w:p>
      <w:pPr>
        <w:pStyle w:val="25"/>
        <w:numPr>
          <w:ilvl w:val="0"/>
          <w:numId w:val="1"/>
        </w:numPr>
        <w:ind w:left="210" w:leftChars="100"/>
        <w:rPr>
          <w:rFonts w:eastAsia="Arial Unicode MS" w:cstheme="minorHAnsi"/>
          <w:szCs w:val="21"/>
        </w:rPr>
      </w:pPr>
      <w:r>
        <w:rPr>
          <w:rFonts w:eastAsia="Arial Unicode MS" w:cstheme="minorHAnsi"/>
          <w:szCs w:val="21"/>
        </w:rPr>
        <w:t>Prof. Zhang Shuichang (Research Institute of Petroleum Exploration &amp; Development, PetroChina, China)</w:t>
      </w:r>
    </w:p>
    <w:p>
      <w:pPr>
        <w:ind w:left="370" w:leftChars="100" w:hanging="160" w:hangingChars="100"/>
        <w:rPr>
          <w:rFonts w:eastAsia="Arial Unicode MS" w:cstheme="minorHAnsi"/>
          <w:sz w:val="16"/>
          <w:szCs w:val="16"/>
        </w:rPr>
      </w:pPr>
    </w:p>
    <w:p>
      <w:pPr>
        <w:spacing w:line="360" w:lineRule="auto"/>
        <w:ind w:left="420" w:leftChars="100" w:hanging="210" w:hangingChars="100"/>
        <w:rPr>
          <w:rFonts w:eastAsia="Arial Unicode MS" w:cstheme="minorHAnsi"/>
          <w:b/>
          <w:szCs w:val="21"/>
        </w:rPr>
      </w:pPr>
      <w:r>
        <w:rPr>
          <w:rFonts w:eastAsia="Arial Unicode MS" w:cstheme="minorHAnsi"/>
          <w:b/>
          <w:szCs w:val="21"/>
        </w:rPr>
        <w:t>Vice Chairmen</w:t>
      </w:r>
    </w:p>
    <w:p>
      <w:pPr>
        <w:pStyle w:val="25"/>
        <w:numPr>
          <w:ilvl w:val="0"/>
          <w:numId w:val="2"/>
        </w:numPr>
        <w:ind w:left="210" w:leftChars="100"/>
        <w:rPr>
          <w:rFonts w:eastAsia="Arial Unicode MS" w:cstheme="minorHAnsi"/>
          <w:szCs w:val="21"/>
        </w:rPr>
      </w:pPr>
      <w:r>
        <w:rPr>
          <w:rFonts w:eastAsia="Arial Unicode MS" w:cstheme="minorHAnsi"/>
          <w:szCs w:val="21"/>
        </w:rPr>
        <w:t>Prof. Peng Ping’an (Guangzhou Institute of Geochemistry, CAS, China)</w:t>
      </w:r>
    </w:p>
    <w:p>
      <w:pPr>
        <w:pStyle w:val="25"/>
        <w:numPr>
          <w:ilvl w:val="0"/>
          <w:numId w:val="2"/>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Stephen R. Larter (University of Calgary, Canada)</w:t>
      </w:r>
    </w:p>
    <w:p>
      <w:pPr>
        <w:pStyle w:val="25"/>
        <w:numPr>
          <w:ilvl w:val="0"/>
          <w:numId w:val="2"/>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Maowen Li</w:t>
      </w:r>
      <w:r>
        <w:rPr>
          <w:rFonts w:hint="eastAsia" w:eastAsia="Arial Unicode MS" w:cstheme="minorHAnsi"/>
          <w:szCs w:val="21"/>
        </w:rPr>
        <w:t xml:space="preserve"> </w:t>
      </w:r>
      <w:r>
        <w:rPr>
          <w:rFonts w:eastAsia="Arial Unicode MS" w:cstheme="minorHAnsi"/>
          <w:szCs w:val="21"/>
        </w:rPr>
        <w:t>(Research Institute of Petroleum Exploration &amp; Development, Sinopec, China)</w:t>
      </w:r>
    </w:p>
    <w:p>
      <w:pPr>
        <w:pStyle w:val="25"/>
        <w:numPr>
          <w:ilvl w:val="0"/>
          <w:numId w:val="2"/>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Kliti Grice (Department of Chemistry, Curtin University, Australia)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Keyu Liu (China University of Petroleum</w:t>
      </w:r>
      <w:r>
        <w:rPr>
          <w:rFonts w:hint="eastAsia" w:eastAsia="Arial Unicode MS" w:cstheme="minorHAnsi"/>
          <w:szCs w:val="21"/>
        </w:rPr>
        <w:t>, China</w:t>
      </w:r>
      <w:r>
        <w:rPr>
          <w:rFonts w:eastAsia="Arial Unicode MS" w:cstheme="minorHAnsi"/>
          <w:szCs w:val="21"/>
        </w:rPr>
        <w:t>)</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Simon George (Macquarie University, Australia)</w:t>
      </w:r>
    </w:p>
    <w:p>
      <w:pPr>
        <w:pStyle w:val="25"/>
        <w:numPr>
          <w:ilvl w:val="0"/>
          <w:numId w:val="2"/>
        </w:numPr>
        <w:ind w:left="210" w:leftChars="100"/>
        <w:rPr>
          <w:rFonts w:eastAsia="Arial Unicode MS" w:cstheme="minorHAnsi"/>
          <w:szCs w:val="21"/>
        </w:rPr>
      </w:pPr>
      <w:r>
        <w:rPr>
          <w:rFonts w:eastAsia="Arial Unicode MS" w:cstheme="minorHAnsi"/>
          <w:szCs w:val="21"/>
        </w:rPr>
        <w:t>Prof. Wang Yunpeng (Guangzhou Institute of Geochemistry, CAS, China)</w:t>
      </w:r>
    </w:p>
    <w:p>
      <w:pPr>
        <w:pStyle w:val="25"/>
        <w:numPr>
          <w:ilvl w:val="0"/>
          <w:numId w:val="2"/>
        </w:numPr>
        <w:ind w:left="210" w:leftChars="100"/>
        <w:rPr>
          <w:rFonts w:eastAsia="Arial Unicode MS" w:cstheme="minorHAnsi"/>
          <w:szCs w:val="21"/>
        </w:rPr>
      </w:pPr>
      <w:r>
        <w:rPr>
          <w:rFonts w:eastAsia="Arial Unicode MS" w:cstheme="minorHAnsi"/>
          <w:szCs w:val="21"/>
        </w:rPr>
        <w:t>Dr. John K. Volkman (The Commonwealth Scientific and Industrial Research Organization, Australia)</w:t>
      </w:r>
    </w:p>
    <w:p>
      <w:pPr>
        <w:pStyle w:val="25"/>
        <w:numPr>
          <w:ilvl w:val="0"/>
          <w:numId w:val="2"/>
        </w:numPr>
        <w:ind w:left="210" w:leftChars="100"/>
        <w:rPr>
          <w:rFonts w:eastAsia="Arial Unicode MS" w:cstheme="minorHAnsi"/>
          <w:szCs w:val="21"/>
        </w:rPr>
      </w:pPr>
      <w:r>
        <w:rPr>
          <w:rFonts w:hint="eastAsia" w:eastAsia="Arial Unicode MS" w:cstheme="minorHAnsi"/>
          <w:szCs w:val="21"/>
        </w:rPr>
        <w:t xml:space="preserve">Dr. </w:t>
      </w:r>
      <w:r>
        <w:fldChar w:fldCharType="begin"/>
      </w:r>
      <w:r>
        <w:instrText xml:space="preserve"> HYPERLINK "mailto:courtney.turich@skio.usg.edu" \t "https://www.sciencedirect.com/science/article/abs/pii/_self" </w:instrText>
      </w:r>
      <w:r>
        <w:fldChar w:fldCharType="separate"/>
      </w:r>
      <w:r>
        <w:rPr>
          <w:rFonts w:hint="eastAsia" w:eastAsia="Arial Unicode MS" w:cstheme="minorHAnsi"/>
          <w:szCs w:val="21"/>
        </w:rPr>
        <w:t>C</w:t>
      </w:r>
      <w:r>
        <w:rPr>
          <w:rFonts w:eastAsia="Arial Unicode MS" w:cstheme="minorHAnsi"/>
          <w:szCs w:val="21"/>
        </w:rPr>
        <w:t>ourtney</w:t>
      </w:r>
      <w:r>
        <w:rPr>
          <w:rFonts w:hint="eastAsia" w:eastAsia="Arial Unicode MS" w:cstheme="minorHAnsi"/>
          <w:szCs w:val="21"/>
        </w:rPr>
        <w:t xml:space="preserve"> T</w:t>
      </w:r>
      <w:r>
        <w:rPr>
          <w:rFonts w:eastAsia="Arial Unicode MS" w:cstheme="minorHAnsi"/>
          <w:szCs w:val="21"/>
        </w:rPr>
        <w:t>urich</w:t>
      </w:r>
      <w:r>
        <w:rPr>
          <w:rFonts w:eastAsia="Arial Unicode MS" w:cstheme="minorHAnsi"/>
          <w:szCs w:val="21"/>
        </w:rPr>
        <w:fldChar w:fldCharType="end"/>
      </w:r>
      <w:r>
        <w:rPr>
          <w:rFonts w:hint="eastAsia" w:ascii="Arial" w:hAnsi="Arial" w:eastAsia="宋体" w:cs="Arial"/>
          <w:sz w:val="16"/>
          <w:szCs w:val="16"/>
          <w:shd w:val="clear" w:color="auto" w:fill="FFFFFF"/>
        </w:rPr>
        <w:t xml:space="preserve"> (</w:t>
      </w:r>
      <w:r>
        <w:rPr>
          <w:rFonts w:hint="eastAsia" w:eastAsia="Arial Unicode MS" w:cstheme="minorHAnsi"/>
          <w:szCs w:val="21"/>
        </w:rPr>
        <w:t>Chairperson, European Association of Organic Geochemists, USA</w:t>
      </w:r>
      <w:r>
        <w:rPr>
          <w:rFonts w:hint="eastAsia" w:ascii="Arial" w:hAnsi="Arial" w:eastAsia="宋体" w:cs="Arial"/>
          <w:sz w:val="16"/>
          <w:szCs w:val="16"/>
          <w:shd w:val="clear" w:color="auto" w:fill="FFFFFF"/>
        </w:rPr>
        <w:t>)</w:t>
      </w:r>
    </w:p>
    <w:p>
      <w:pPr>
        <w:pStyle w:val="25"/>
        <w:numPr>
          <w:ilvl w:val="0"/>
          <w:numId w:val="2"/>
        </w:numPr>
        <w:ind w:left="210" w:leftChars="100"/>
        <w:rPr>
          <w:rFonts w:eastAsia="Arial Unicode MS" w:cstheme="minorHAnsi"/>
          <w:szCs w:val="21"/>
        </w:rPr>
      </w:pPr>
      <w:r>
        <w:rPr>
          <w:rFonts w:eastAsia="Arial Unicode MS" w:cstheme="minorHAnsi"/>
          <w:szCs w:val="21"/>
        </w:rPr>
        <w:t>Dr. Eddy Subroto (Bandung Institute of Technology, Indonesia)</w:t>
      </w:r>
    </w:p>
    <w:p>
      <w:pPr>
        <w:pStyle w:val="25"/>
        <w:numPr>
          <w:ilvl w:val="0"/>
          <w:numId w:val="2"/>
        </w:numPr>
        <w:ind w:left="210" w:leftChars="100"/>
        <w:rPr>
          <w:rFonts w:eastAsia="Arial Unicode MS" w:cstheme="minorHAnsi"/>
          <w:szCs w:val="21"/>
        </w:rPr>
      </w:pPr>
      <w:r>
        <w:rPr>
          <w:rFonts w:eastAsia="Arial Unicode MS" w:cstheme="minorHAnsi"/>
          <w:szCs w:val="21"/>
        </w:rPr>
        <w:t>Dr. Anil K. Garg (Energy &amp; Environment Foundation, India)</w:t>
      </w:r>
    </w:p>
    <w:p>
      <w:pPr>
        <w:pStyle w:val="25"/>
        <w:numPr>
          <w:ilvl w:val="0"/>
          <w:numId w:val="2"/>
        </w:numPr>
        <w:ind w:left="210" w:leftChars="100"/>
        <w:rPr>
          <w:rFonts w:eastAsia="Arial Unicode MS" w:cstheme="minorHAnsi"/>
          <w:szCs w:val="21"/>
        </w:rPr>
      </w:pPr>
      <w:r>
        <w:rPr>
          <w:rFonts w:eastAsia="Arial Unicode MS" w:cstheme="minorHAnsi"/>
          <w:szCs w:val="21"/>
        </w:rPr>
        <w:t xml:space="preserve">Dr. </w:t>
      </w:r>
      <w:r>
        <w:rPr>
          <w:rFonts w:hint="eastAsia" w:eastAsia="Arial Unicode MS" w:cstheme="minorHAnsi"/>
          <w:szCs w:val="21"/>
        </w:rPr>
        <w:t>M</w:t>
      </w:r>
      <w:r>
        <w:rPr>
          <w:rFonts w:eastAsia="Arial Unicode MS" w:cstheme="minorHAnsi"/>
          <w:szCs w:val="21"/>
        </w:rPr>
        <w:t>ahdi Abuali (Raphael Energy Group)</w:t>
      </w:r>
    </w:p>
    <w:p>
      <w:pPr>
        <w:pStyle w:val="25"/>
        <w:numPr>
          <w:ilvl w:val="0"/>
          <w:numId w:val="2"/>
        </w:numPr>
        <w:ind w:left="210" w:leftChars="100"/>
        <w:rPr>
          <w:rFonts w:eastAsia="Arial Unicode MS" w:cstheme="minorHAnsi"/>
          <w:szCs w:val="21"/>
        </w:rPr>
      </w:pPr>
      <w:r>
        <w:rPr>
          <w:rFonts w:eastAsia="Arial Unicode MS" w:cstheme="minorHAnsi"/>
          <w:szCs w:val="21"/>
        </w:rPr>
        <w:t xml:space="preserve">Dr. </w:t>
      </w:r>
      <w:r>
        <w:rPr>
          <w:rFonts w:hint="eastAsia" w:eastAsia="Arial Unicode MS" w:cstheme="minorHAnsi"/>
          <w:szCs w:val="21"/>
        </w:rPr>
        <w:t>Pim F. van Bergen</w:t>
      </w:r>
      <w:r>
        <w:rPr>
          <w:rFonts w:eastAsia="Arial Unicode MS" w:cstheme="minorHAnsi"/>
          <w:szCs w:val="21"/>
        </w:rPr>
        <w:t xml:space="preserve"> (</w:t>
      </w:r>
      <w:r>
        <w:rPr>
          <w:rFonts w:hint="eastAsia" w:eastAsia="Arial Unicode MS" w:cstheme="minorHAnsi"/>
          <w:szCs w:val="21"/>
        </w:rPr>
        <w:t>Shell Research Ltd., Aberdeen, United Kingdom</w:t>
      </w:r>
      <w:r>
        <w:rPr>
          <w:rFonts w:eastAsia="Arial Unicode MS" w:cstheme="minorHAnsi"/>
          <w:szCs w:val="21"/>
        </w:rPr>
        <w:t xml:space="preserve">) </w:t>
      </w:r>
    </w:p>
    <w:p>
      <w:pPr>
        <w:pStyle w:val="25"/>
        <w:numPr>
          <w:ilvl w:val="0"/>
          <w:numId w:val="2"/>
        </w:numPr>
        <w:ind w:left="210" w:leftChars="100"/>
        <w:rPr>
          <w:rFonts w:eastAsia="Arial Unicode MS" w:cstheme="minorHAnsi"/>
          <w:szCs w:val="21"/>
        </w:rPr>
      </w:pPr>
      <w:r>
        <w:rPr>
          <w:rFonts w:eastAsia="Arial Unicode MS" w:cstheme="minorHAnsi"/>
          <w:szCs w:val="21"/>
        </w:rPr>
        <w:t>Dr. Chukwuemeka M. Ekweozor (Oil &amp; Gas Academy, Nigeria)</w:t>
      </w:r>
    </w:p>
    <w:p>
      <w:pPr>
        <w:ind w:left="420" w:leftChars="100" w:hanging="210" w:hangingChars="100"/>
        <w:rPr>
          <w:rFonts w:eastAsia="Arial Unicode MS" w:cstheme="minorHAnsi"/>
          <w:szCs w:val="21"/>
        </w:rPr>
      </w:pPr>
    </w:p>
    <w:p>
      <w:pPr>
        <w:ind w:left="420" w:leftChars="100" w:hanging="210" w:hangingChars="100"/>
        <w:rPr>
          <w:rFonts w:eastAsia="Arial Unicode MS" w:cstheme="minorHAnsi"/>
          <w:b/>
          <w:szCs w:val="21"/>
        </w:rPr>
      </w:pPr>
      <w:r>
        <w:rPr>
          <w:rFonts w:eastAsia="Arial Unicode MS" w:cstheme="minorHAnsi"/>
          <w:b/>
          <w:szCs w:val="21"/>
        </w:rPr>
        <w:t>Members</w:t>
      </w:r>
    </w:p>
    <w:p>
      <w:pPr>
        <w:pStyle w:val="25"/>
        <w:numPr>
          <w:ilvl w:val="0"/>
          <w:numId w:val="3"/>
        </w:numPr>
        <w:ind w:left="210" w:leftChars="100"/>
        <w:rPr>
          <w:rFonts w:eastAsia="Arial Unicode MS" w:cstheme="minorHAnsi"/>
          <w:szCs w:val="21"/>
        </w:rPr>
      </w:pPr>
      <w:r>
        <w:rPr>
          <w:rFonts w:eastAsia="Arial Unicode MS" w:cstheme="minorHAnsi"/>
          <w:szCs w:val="21"/>
        </w:rPr>
        <w:t>Dr. Alon Amrani (Institute of Earth Sciences, Hebrew University, Jerusalem, Israel)</w:t>
      </w:r>
    </w:p>
    <w:p>
      <w:pPr>
        <w:pStyle w:val="25"/>
        <w:numPr>
          <w:ilvl w:val="0"/>
          <w:numId w:val="3"/>
        </w:numPr>
        <w:ind w:left="210" w:leftChars="100"/>
        <w:rPr>
          <w:rFonts w:eastAsia="Arial Unicode MS" w:cstheme="minorHAnsi"/>
          <w:szCs w:val="21"/>
        </w:rPr>
      </w:pPr>
      <w:r>
        <w:rPr>
          <w:rFonts w:eastAsia="Arial Unicode MS" w:cstheme="minorHAnsi"/>
          <w:szCs w:val="21"/>
        </w:rPr>
        <w:t xml:space="preserve">Dr. Andang Bachtiar (PT. Exploration Think Tank Indonesia, Indonesia) </w:t>
      </w:r>
    </w:p>
    <w:p>
      <w:pPr>
        <w:pStyle w:val="25"/>
        <w:numPr>
          <w:ilvl w:val="0"/>
          <w:numId w:val="3"/>
        </w:numPr>
        <w:ind w:left="210" w:leftChars="100"/>
        <w:rPr>
          <w:rFonts w:eastAsia="Arial Unicode MS" w:cstheme="minorHAnsi"/>
          <w:szCs w:val="21"/>
        </w:rPr>
      </w:pPr>
      <w:r>
        <w:rPr>
          <w:rFonts w:eastAsia="Arial Unicode MS" w:cstheme="minorHAnsi"/>
          <w:szCs w:val="21"/>
        </w:rPr>
        <w:t>Dr. Anais Pages (CSIRO, Australia)</w:t>
      </w:r>
    </w:p>
    <w:p>
      <w:pPr>
        <w:pStyle w:val="25"/>
        <w:numPr>
          <w:ilvl w:val="0"/>
          <w:numId w:val="3"/>
        </w:numPr>
        <w:ind w:left="210" w:leftChars="100"/>
        <w:rPr>
          <w:rFonts w:eastAsia="Arial Unicode MS" w:cstheme="minorHAnsi"/>
          <w:szCs w:val="21"/>
        </w:rPr>
      </w:pPr>
      <w:r>
        <w:rPr>
          <w:rFonts w:hint="eastAsia" w:eastAsia="Arial Unicode MS" w:cstheme="minorHAnsi"/>
          <w:szCs w:val="21"/>
        </w:rPr>
        <w:t>Dr. Bin Zhang (</w:t>
      </w:r>
      <w:r>
        <w:rPr>
          <w:rFonts w:cstheme="minorHAnsi"/>
          <w:szCs w:val="21"/>
        </w:rPr>
        <w:t xml:space="preserve">Research Institute of Petroleum E &amp; D, </w:t>
      </w:r>
      <w:r>
        <w:rPr>
          <w:rFonts w:hint="eastAsia" w:eastAsia="Arial Unicode MS" w:cstheme="minorHAnsi"/>
          <w:szCs w:val="21"/>
        </w:rPr>
        <w:t>CNPC</w:t>
      </w:r>
      <w:r>
        <w:rPr>
          <w:rFonts w:eastAsia="Arial Unicode MS" w:cstheme="minorHAnsi"/>
          <w:szCs w:val="21"/>
        </w:rPr>
        <w:t>, China</w:t>
      </w:r>
      <w:r>
        <w:rPr>
          <w:rFonts w:hint="eastAsia" w:eastAsia="Arial Unicode MS" w:cstheme="minorHAnsi"/>
          <w:szCs w:val="21"/>
        </w:rPr>
        <w:t>)</w:t>
      </w:r>
    </w:p>
    <w:p>
      <w:pPr>
        <w:pStyle w:val="25"/>
        <w:numPr>
          <w:ilvl w:val="0"/>
          <w:numId w:val="3"/>
        </w:numPr>
        <w:ind w:left="210" w:leftChars="100"/>
        <w:rPr>
          <w:rFonts w:eastAsia="Arial Unicode MS" w:cstheme="minorHAnsi"/>
          <w:szCs w:val="21"/>
        </w:rPr>
      </w:pPr>
      <w:r>
        <w:rPr>
          <w:rFonts w:eastAsia="Arial Unicode MS" w:cstheme="minorHAnsi"/>
          <w:szCs w:val="21"/>
        </w:rPr>
        <w:t>Dr. Baleshwar Kumar (Gujarat Energy Research &amp; Management Institute, India)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Bernhard M. Krooss (RWTH Aachen University, Germany)</w:t>
      </w:r>
    </w:p>
    <w:p>
      <w:pPr>
        <w:pStyle w:val="25"/>
        <w:numPr>
          <w:ilvl w:val="0"/>
          <w:numId w:val="3"/>
        </w:numPr>
        <w:ind w:left="210" w:leftChars="100"/>
        <w:rPr>
          <w:rFonts w:eastAsia="Arial Unicode MS" w:cstheme="minorHAnsi"/>
          <w:szCs w:val="21"/>
        </w:rPr>
      </w:pPr>
      <w:r>
        <w:rPr>
          <w:rFonts w:eastAsia="Arial Unicode MS" w:cstheme="minorHAnsi"/>
          <w:szCs w:val="21"/>
        </w:rPr>
        <w:t>Prof. Chunfang</w:t>
      </w:r>
      <w:r>
        <w:rPr>
          <w:rFonts w:hint="eastAsia" w:eastAsia="Arial Unicode MS" w:cstheme="minorHAnsi"/>
          <w:szCs w:val="21"/>
        </w:rPr>
        <w:t xml:space="preserve"> </w:t>
      </w:r>
      <w:r>
        <w:rPr>
          <w:rFonts w:eastAsia="Arial Unicode MS" w:cstheme="minorHAnsi"/>
          <w:szCs w:val="21"/>
        </w:rPr>
        <w:t>Cai</w:t>
      </w:r>
      <w:r>
        <w:rPr>
          <w:rFonts w:hint="eastAsia" w:eastAsia="Arial Unicode MS" w:cstheme="minorHAnsi"/>
          <w:szCs w:val="21"/>
        </w:rPr>
        <w:t xml:space="preserve"> </w:t>
      </w:r>
      <w:r>
        <w:rPr>
          <w:rFonts w:eastAsia="Arial Unicode MS" w:cstheme="minorHAnsi"/>
          <w:szCs w:val="21"/>
        </w:rPr>
        <w:t>(Institute of Geology and Geophysics, CAS, China)</w:t>
      </w:r>
    </w:p>
    <w:p>
      <w:pPr>
        <w:pStyle w:val="25"/>
        <w:numPr>
          <w:ilvl w:val="0"/>
          <w:numId w:val="3"/>
        </w:numPr>
        <w:ind w:left="210" w:leftChars="100"/>
        <w:rPr>
          <w:rFonts w:eastAsia="Arial Unicode MS" w:cstheme="minorHAnsi"/>
          <w:szCs w:val="21"/>
        </w:rPr>
      </w:pPr>
      <w:r>
        <w:rPr>
          <w:rFonts w:eastAsia="Arial Unicode MS" w:cstheme="minorHAnsi"/>
          <w:szCs w:val="21"/>
        </w:rPr>
        <w:t xml:space="preserve">Dr. Dardji Neoradi (Institut Teknologi Bandung (ITB), Indonesia) </w:t>
      </w:r>
    </w:p>
    <w:p>
      <w:pPr>
        <w:pStyle w:val="25"/>
        <w:numPr>
          <w:ilvl w:val="0"/>
          <w:numId w:val="3"/>
        </w:numPr>
        <w:ind w:left="210" w:leftChars="100"/>
        <w:rPr>
          <w:rFonts w:eastAsia="Arial Unicode MS" w:cstheme="minorHAnsi"/>
          <w:szCs w:val="21"/>
        </w:rPr>
      </w:pPr>
      <w:r>
        <w:rPr>
          <w:rFonts w:eastAsia="Arial Unicode MS" w:cstheme="minorHAnsi"/>
          <w:szCs w:val="21"/>
        </w:rPr>
        <w:t>Dr. Devleena Mari Tiwari (Central University, Hyderabad, India)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Dujie</w:t>
      </w:r>
      <w:r>
        <w:rPr>
          <w:rFonts w:hint="eastAsia" w:eastAsia="Arial Unicode MS" w:cstheme="minorHAnsi"/>
          <w:szCs w:val="21"/>
        </w:rPr>
        <w:t xml:space="preserve"> </w:t>
      </w:r>
      <w:r>
        <w:rPr>
          <w:rFonts w:eastAsia="Arial Unicode MS" w:cstheme="minorHAnsi"/>
          <w:szCs w:val="21"/>
        </w:rPr>
        <w:t>Hou</w:t>
      </w:r>
      <w:r>
        <w:rPr>
          <w:rFonts w:hint="eastAsia" w:eastAsia="Arial Unicode MS" w:cstheme="minorHAnsi"/>
          <w:szCs w:val="21"/>
        </w:rPr>
        <w:t xml:space="preserve"> </w:t>
      </w:r>
      <w:r>
        <w:rPr>
          <w:rFonts w:eastAsia="Arial Unicode MS" w:cstheme="minorHAnsi"/>
          <w:szCs w:val="21"/>
        </w:rPr>
        <w:t>(China University of Geosciences, Beijing, China)</w:t>
      </w:r>
    </w:p>
    <w:p>
      <w:pPr>
        <w:pStyle w:val="25"/>
        <w:numPr>
          <w:ilvl w:val="0"/>
          <w:numId w:val="3"/>
        </w:numPr>
        <w:ind w:left="210" w:leftChars="100"/>
        <w:rPr>
          <w:rFonts w:eastAsia="Arial Unicode MS" w:cstheme="minorHAnsi"/>
          <w:szCs w:val="21"/>
        </w:rPr>
      </w:pPr>
      <w:r>
        <w:rPr>
          <w:rFonts w:hint="eastAsia" w:eastAsia="Arial Unicode MS" w:cstheme="minorHAnsi"/>
          <w:szCs w:val="21"/>
        </w:rPr>
        <w:t xml:space="preserve">Dr. Genming Luo </w:t>
      </w:r>
      <w:r>
        <w:rPr>
          <w:rFonts w:eastAsia="Arial Unicode MS" w:cstheme="minorHAnsi"/>
          <w:szCs w:val="21"/>
        </w:rPr>
        <w:t xml:space="preserve">(China University of Geosciences, Wuhan, </w:t>
      </w:r>
      <w:r>
        <w:rPr>
          <w:rFonts w:hint="eastAsia" w:eastAsia="Arial Unicode MS" w:cstheme="minorHAnsi"/>
          <w:szCs w:val="21"/>
        </w:rPr>
        <w:t>China</w:t>
      </w:r>
      <w:r>
        <w:rPr>
          <w:rFonts w:eastAsia="Arial Unicode MS" w:cstheme="minorHAnsi"/>
          <w:szCs w:val="21"/>
        </w:rPr>
        <w:t>)</w:t>
      </w:r>
    </w:p>
    <w:p>
      <w:pPr>
        <w:pStyle w:val="25"/>
        <w:numPr>
          <w:ilvl w:val="0"/>
          <w:numId w:val="3"/>
        </w:numPr>
        <w:ind w:left="210" w:leftChars="100"/>
        <w:rPr>
          <w:rFonts w:eastAsia="Arial Unicode MS" w:cstheme="minorHAnsi"/>
          <w:szCs w:val="21"/>
        </w:rPr>
      </w:pPr>
      <w:r>
        <w:rPr>
          <w:rFonts w:eastAsia="Arial Unicode MS" w:cstheme="minorHAnsi"/>
          <w:szCs w:val="21"/>
        </w:rPr>
        <w:t>Prof. Hans-Martin Schulz (GFZ German Research Centre for Geosciences, Potsdam, Germany)</w:t>
      </w:r>
    </w:p>
    <w:p>
      <w:pPr>
        <w:pStyle w:val="25"/>
        <w:numPr>
          <w:ilvl w:val="0"/>
          <w:numId w:val="3"/>
        </w:numPr>
        <w:ind w:left="210" w:leftChars="100"/>
        <w:rPr>
          <w:rFonts w:eastAsia="Arial Unicode MS" w:cstheme="minorHAnsi"/>
          <w:szCs w:val="21"/>
        </w:rPr>
      </w:pPr>
      <w:r>
        <w:rPr>
          <w:rFonts w:eastAsia="Arial Unicode MS" w:cstheme="minorHAnsi"/>
          <w:szCs w:val="21"/>
        </w:rPr>
        <w:t>Dr. H.N. Mathur (Oil India Ltd., Assam, India)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Huang Haiping (University of Calgary, Canada)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xml:space="preserve">. </w:t>
      </w:r>
      <w:r>
        <w:rPr>
          <w:rFonts w:hint="eastAsia" w:eastAsia="Arial Unicode MS" w:cstheme="minorHAnsi"/>
          <w:szCs w:val="21"/>
        </w:rPr>
        <w:t>Hui</w:t>
      </w:r>
      <w:r>
        <w:rPr>
          <w:rFonts w:eastAsia="Arial Unicode MS" w:cstheme="minorHAnsi"/>
          <w:szCs w:val="21"/>
        </w:rPr>
        <w:t xml:space="preserve"> </w:t>
      </w:r>
      <w:r>
        <w:rPr>
          <w:rFonts w:hint="eastAsia" w:eastAsia="Arial Unicode MS" w:cstheme="minorHAnsi"/>
          <w:szCs w:val="21"/>
        </w:rPr>
        <w:t>Tian (</w:t>
      </w:r>
      <w:r>
        <w:rPr>
          <w:rFonts w:eastAsia="Arial Unicode MS" w:cstheme="minorHAnsi"/>
          <w:szCs w:val="21"/>
        </w:rPr>
        <w:t>Guangzhou Institute of Geochemistry, CAS, China</w:t>
      </w:r>
      <w:r>
        <w:rPr>
          <w:rFonts w:hint="eastAsia" w:eastAsia="Arial Unicode MS" w:cstheme="minorHAnsi"/>
          <w:szCs w:val="21"/>
        </w:rPr>
        <w:t>)</w:t>
      </w:r>
    </w:p>
    <w:p>
      <w:pPr>
        <w:pStyle w:val="25"/>
        <w:numPr>
          <w:ilvl w:val="0"/>
          <w:numId w:val="3"/>
        </w:numPr>
        <w:ind w:left="210" w:leftChars="100"/>
        <w:rPr>
          <w:rFonts w:eastAsia="Arial Unicode MS" w:cstheme="minorHAnsi"/>
          <w:szCs w:val="21"/>
        </w:rPr>
      </w:pPr>
      <w:r>
        <w:rPr>
          <w:rFonts w:eastAsia="Arial Unicode MS" w:cstheme="minorHAnsi"/>
          <w:szCs w:val="21"/>
        </w:rPr>
        <w:t>Dr.</w:t>
      </w:r>
      <w:r>
        <w:rPr>
          <w:rFonts w:hint="eastAsia" w:eastAsia="Arial Unicode MS" w:cstheme="minorHAnsi"/>
          <w:szCs w:val="21"/>
        </w:rPr>
        <w:t xml:space="preserve"> </w:t>
      </w:r>
      <w:r>
        <w:rPr>
          <w:rFonts w:eastAsia="Arial Unicode MS" w:cstheme="minorHAnsi"/>
          <w:szCs w:val="21"/>
        </w:rPr>
        <w:t>Imran</w:t>
      </w:r>
      <w:r>
        <w:rPr>
          <w:rFonts w:hint="eastAsia" w:eastAsia="Arial Unicode MS" w:cstheme="minorHAnsi"/>
          <w:szCs w:val="21"/>
        </w:rPr>
        <w:t xml:space="preserve"> </w:t>
      </w:r>
      <w:r>
        <w:rPr>
          <w:rFonts w:eastAsia="Arial Unicode MS" w:cstheme="minorHAnsi"/>
          <w:szCs w:val="21"/>
        </w:rPr>
        <w:t>Khan</w:t>
      </w:r>
      <w:r>
        <w:rPr>
          <w:rFonts w:hint="eastAsia" w:eastAsia="Arial Unicode MS" w:cstheme="minorHAnsi"/>
          <w:szCs w:val="21"/>
        </w:rPr>
        <w:t xml:space="preserve"> </w:t>
      </w:r>
      <w:r>
        <w:rPr>
          <w:rFonts w:eastAsia="Arial Unicode MS" w:cstheme="minorHAnsi"/>
          <w:szCs w:val="21"/>
        </w:rPr>
        <w:t>(COMSATS Institute of Information and Technology, Abbottabad, Kpk, Pakistan)</w:t>
      </w:r>
    </w:p>
    <w:p>
      <w:pPr>
        <w:pStyle w:val="25"/>
        <w:numPr>
          <w:ilvl w:val="0"/>
          <w:numId w:val="3"/>
        </w:numPr>
        <w:ind w:left="210" w:leftChars="100"/>
        <w:rPr>
          <w:rFonts w:eastAsia="Arial Unicode MS" w:cstheme="minorHAnsi"/>
          <w:szCs w:val="21"/>
        </w:rPr>
      </w:pPr>
      <w:r>
        <w:rPr>
          <w:rFonts w:eastAsia="Arial Unicode MS" w:cstheme="minorHAnsi"/>
          <w:szCs w:val="21"/>
        </w:rPr>
        <w:t>Dr. Ines Melendez (Woodside Petroleum Ltd., Australia)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xml:space="preserve">. </w:t>
      </w:r>
      <w:r>
        <w:rPr>
          <w:rFonts w:hint="eastAsia" w:eastAsia="Arial Unicode MS" w:cstheme="minorHAnsi"/>
          <w:szCs w:val="21"/>
        </w:rPr>
        <w:t>Jian</w:t>
      </w:r>
      <w:r>
        <w:rPr>
          <w:rFonts w:eastAsia="Arial Unicode MS" w:cstheme="minorHAnsi"/>
          <w:szCs w:val="21"/>
        </w:rPr>
        <w:t xml:space="preserve"> </w:t>
      </w:r>
      <w:r>
        <w:rPr>
          <w:rFonts w:hint="eastAsia" w:eastAsia="Arial Unicode MS" w:cstheme="minorHAnsi"/>
          <w:szCs w:val="21"/>
        </w:rPr>
        <w:t xml:space="preserve">Cao (Nanjing </w:t>
      </w:r>
      <w:r>
        <w:rPr>
          <w:rFonts w:eastAsia="Arial Unicode MS" w:cstheme="minorHAnsi"/>
          <w:szCs w:val="21"/>
        </w:rPr>
        <w:t>University, China</w:t>
      </w:r>
      <w:r>
        <w:rPr>
          <w:rFonts w:hint="eastAsia" w:eastAsia="Arial Unicode MS" w:cstheme="minorHAnsi"/>
          <w:szCs w:val="21"/>
        </w:rPr>
        <w:t>)</w:t>
      </w:r>
    </w:p>
    <w:p>
      <w:pPr>
        <w:pStyle w:val="25"/>
        <w:numPr>
          <w:ilvl w:val="0"/>
          <w:numId w:val="3"/>
        </w:numPr>
        <w:ind w:left="210" w:leftChars="100"/>
        <w:rPr>
          <w:rFonts w:eastAsia="Arial Unicode MS" w:cstheme="minorHAnsi"/>
          <w:szCs w:val="21"/>
        </w:rPr>
      </w:pPr>
      <w:r>
        <w:rPr>
          <w:rFonts w:eastAsia="Arial Unicode MS" w:cstheme="minorHAnsi"/>
          <w:szCs w:val="21"/>
        </w:rPr>
        <w:t>Prof.</w:t>
      </w:r>
      <w:r>
        <w:rPr>
          <w:rFonts w:hint="eastAsia" w:eastAsia="Arial Unicode MS" w:cstheme="minorHAnsi"/>
          <w:szCs w:val="21"/>
        </w:rPr>
        <w:t xml:space="preserve"> </w:t>
      </w:r>
      <w:r>
        <w:rPr>
          <w:rFonts w:eastAsia="Arial Unicode MS" w:cstheme="minorHAnsi"/>
          <w:szCs w:val="21"/>
        </w:rPr>
        <w:t>Jianping</w:t>
      </w:r>
      <w:r>
        <w:rPr>
          <w:rFonts w:hint="eastAsia" w:eastAsia="Arial Unicode MS" w:cstheme="minorHAnsi"/>
          <w:szCs w:val="21"/>
        </w:rPr>
        <w:t xml:space="preserve"> </w:t>
      </w:r>
      <w:r>
        <w:rPr>
          <w:rFonts w:eastAsia="Arial Unicode MS" w:cstheme="minorHAnsi"/>
          <w:szCs w:val="21"/>
        </w:rPr>
        <w:t>Chen</w:t>
      </w:r>
      <w:r>
        <w:rPr>
          <w:rFonts w:hint="eastAsia" w:eastAsia="Arial Unicode MS" w:cstheme="minorHAnsi"/>
          <w:szCs w:val="21"/>
        </w:rPr>
        <w:t xml:space="preserve"> </w:t>
      </w:r>
      <w:r>
        <w:rPr>
          <w:rFonts w:eastAsia="Arial Unicode MS" w:cstheme="minorHAnsi"/>
          <w:szCs w:val="21"/>
        </w:rPr>
        <w:t>(</w:t>
      </w:r>
      <w:r>
        <w:rPr>
          <w:rFonts w:cstheme="minorHAnsi"/>
          <w:szCs w:val="21"/>
        </w:rPr>
        <w:t xml:space="preserve">Research Institute of Petroleum E &amp; D, </w:t>
      </w:r>
      <w:r>
        <w:rPr>
          <w:rFonts w:hint="eastAsia" w:eastAsia="Arial Unicode MS" w:cstheme="minorHAnsi"/>
          <w:szCs w:val="21"/>
        </w:rPr>
        <w:t>CNPC</w:t>
      </w:r>
      <w:r>
        <w:rPr>
          <w:rFonts w:eastAsia="Arial Unicode MS" w:cstheme="minorHAnsi"/>
          <w:szCs w:val="21"/>
        </w:rPr>
        <w:t>, China)</w:t>
      </w:r>
    </w:p>
    <w:p>
      <w:pPr>
        <w:pStyle w:val="25"/>
        <w:numPr>
          <w:ilvl w:val="0"/>
          <w:numId w:val="3"/>
        </w:numPr>
        <w:ind w:left="210" w:leftChars="100"/>
        <w:rPr>
          <w:rFonts w:eastAsia="Arial Unicode MS" w:cstheme="minorHAnsi"/>
          <w:szCs w:val="21"/>
        </w:rPr>
      </w:pPr>
      <w:r>
        <w:rPr>
          <w:rFonts w:eastAsia="Arial Unicode MS" w:cstheme="minorHAnsi"/>
          <w:szCs w:val="21"/>
        </w:rPr>
        <w:t>Dr. John Volkman (CSIRO Marine &amp; Atmospheric Research, Australia)</w:t>
      </w:r>
    </w:p>
    <w:p>
      <w:pPr>
        <w:pStyle w:val="25"/>
        <w:numPr>
          <w:ilvl w:val="0"/>
          <w:numId w:val="3"/>
        </w:numPr>
        <w:ind w:left="210" w:leftChars="100"/>
        <w:rPr>
          <w:rFonts w:eastAsia="Arial Unicode MS" w:cstheme="minorHAnsi"/>
          <w:szCs w:val="21"/>
        </w:rPr>
      </w:pPr>
      <w:r>
        <w:rPr>
          <w:rFonts w:eastAsia="Arial Unicode MS" w:cstheme="minorHAnsi"/>
          <w:szCs w:val="21"/>
        </w:rPr>
        <w:t>Dr. Maimona Mohamed Ibrahim (Basin Studies, GNPOC, Sudan)</w:t>
      </w:r>
    </w:p>
    <w:p>
      <w:pPr>
        <w:pStyle w:val="25"/>
        <w:numPr>
          <w:ilvl w:val="0"/>
          <w:numId w:val="3"/>
        </w:numPr>
        <w:ind w:left="210" w:leftChars="100"/>
        <w:rPr>
          <w:rFonts w:eastAsia="Arial Unicode MS" w:cstheme="minorHAnsi"/>
          <w:szCs w:val="21"/>
        </w:rPr>
      </w:pPr>
      <w:r>
        <w:rPr>
          <w:rFonts w:eastAsia="Arial Unicode MS" w:cstheme="minorHAnsi"/>
          <w:szCs w:val="21"/>
        </w:rPr>
        <w:t>Dr. Meshack L. N. Kagya (Tanzania Petroleum Development Corporation, Tanzania)</w:t>
      </w:r>
    </w:p>
    <w:p>
      <w:pPr>
        <w:pStyle w:val="25"/>
        <w:numPr>
          <w:ilvl w:val="0"/>
          <w:numId w:val="3"/>
        </w:numPr>
        <w:ind w:left="210" w:leftChars="100"/>
        <w:rPr>
          <w:rFonts w:eastAsia="Arial Unicode MS" w:cstheme="minorHAnsi"/>
          <w:szCs w:val="21"/>
        </w:rPr>
      </w:pPr>
      <w:r>
        <w:rPr>
          <w:rFonts w:eastAsia="Arial Unicode MS" w:cstheme="minorHAnsi"/>
          <w:szCs w:val="21"/>
        </w:rPr>
        <w:t>Dr. Michael A. Abrams (Imperial College London, UK)</w:t>
      </w:r>
    </w:p>
    <w:p>
      <w:pPr>
        <w:pStyle w:val="25"/>
        <w:numPr>
          <w:ilvl w:val="0"/>
          <w:numId w:val="3"/>
        </w:numPr>
        <w:ind w:left="210" w:leftChars="100"/>
        <w:rPr>
          <w:rFonts w:eastAsia="Arial Unicode MS" w:cstheme="minorHAnsi"/>
          <w:szCs w:val="21"/>
        </w:rPr>
      </w:pPr>
      <w:r>
        <w:rPr>
          <w:rFonts w:eastAsia="Arial Unicode MS" w:cstheme="minorHAnsi"/>
          <w:szCs w:val="21"/>
        </w:rPr>
        <w:t xml:space="preserve">Dr. Omer Abul Gebbayin (GNPOC, Sudan) </w:t>
      </w:r>
    </w:p>
    <w:p>
      <w:pPr>
        <w:pStyle w:val="25"/>
        <w:numPr>
          <w:ilvl w:val="0"/>
          <w:numId w:val="3"/>
        </w:numPr>
        <w:ind w:left="210" w:leftChars="100"/>
        <w:rPr>
          <w:rFonts w:eastAsia="Arial Unicode MS" w:cstheme="minorHAnsi"/>
          <w:szCs w:val="21"/>
        </w:rPr>
      </w:pPr>
      <w:r>
        <w:rPr>
          <w:rFonts w:eastAsia="Arial Unicode MS" w:cstheme="minorHAnsi"/>
          <w:szCs w:val="21"/>
        </w:rPr>
        <w:t>Dr. Oluwadayo O. Sonibare (University of Ibadan, Nigeria)</w:t>
      </w:r>
    </w:p>
    <w:p>
      <w:pPr>
        <w:pStyle w:val="25"/>
        <w:numPr>
          <w:ilvl w:val="0"/>
          <w:numId w:val="3"/>
        </w:numPr>
        <w:ind w:left="210" w:leftChars="100"/>
        <w:rPr>
          <w:rFonts w:eastAsia="Arial Unicode MS" w:cstheme="minorHAnsi"/>
          <w:szCs w:val="21"/>
        </w:rPr>
      </w:pPr>
      <w:r>
        <w:rPr>
          <w:rFonts w:eastAsia="Arial Unicode MS" w:cstheme="minorHAnsi"/>
          <w:szCs w:val="21"/>
        </w:rPr>
        <w:t>Prof. Quanyou</w:t>
      </w:r>
      <w:r>
        <w:rPr>
          <w:rFonts w:hint="eastAsia" w:eastAsia="Arial Unicode MS" w:cstheme="minorHAnsi"/>
          <w:szCs w:val="21"/>
        </w:rPr>
        <w:t xml:space="preserve"> </w:t>
      </w:r>
      <w:r>
        <w:rPr>
          <w:rFonts w:eastAsia="Arial Unicode MS" w:cstheme="minorHAnsi"/>
          <w:szCs w:val="21"/>
        </w:rPr>
        <w:t>Liu</w:t>
      </w:r>
      <w:r>
        <w:rPr>
          <w:rFonts w:hint="eastAsia" w:eastAsia="Arial Unicode MS" w:cstheme="minorHAnsi"/>
          <w:szCs w:val="21"/>
        </w:rPr>
        <w:t xml:space="preserve"> </w:t>
      </w:r>
      <w:r>
        <w:rPr>
          <w:rFonts w:eastAsia="Arial Unicode MS" w:cstheme="minorHAnsi"/>
          <w:szCs w:val="21"/>
        </w:rPr>
        <w:t>(</w:t>
      </w:r>
      <w:r>
        <w:rPr>
          <w:rFonts w:hint="eastAsia" w:eastAsia="Arial Unicode MS" w:cstheme="minorHAnsi"/>
          <w:szCs w:val="21"/>
        </w:rPr>
        <w:t>Peking</w:t>
      </w:r>
      <w:r>
        <w:rPr>
          <w:rFonts w:eastAsia="Arial Unicode MS" w:cstheme="minorHAnsi"/>
          <w:szCs w:val="21"/>
        </w:rPr>
        <w:t xml:space="preserve"> University , China)</w:t>
      </w:r>
    </w:p>
    <w:p>
      <w:pPr>
        <w:pStyle w:val="25"/>
        <w:numPr>
          <w:ilvl w:val="0"/>
          <w:numId w:val="3"/>
        </w:numPr>
        <w:ind w:left="210" w:leftChars="100"/>
        <w:rPr>
          <w:rFonts w:eastAsia="Arial Unicode MS" w:cstheme="minorHAnsi"/>
          <w:szCs w:val="21"/>
        </w:rPr>
      </w:pPr>
      <w:r>
        <w:rPr>
          <w:rFonts w:eastAsia="Arial Unicode MS" w:cstheme="minorHAnsi"/>
          <w:szCs w:val="21"/>
        </w:rPr>
        <w:t>Prof. Shuangfang</w:t>
      </w:r>
      <w:r>
        <w:rPr>
          <w:rFonts w:hint="eastAsia" w:eastAsia="Arial Unicode MS" w:cstheme="minorHAnsi"/>
          <w:szCs w:val="21"/>
        </w:rPr>
        <w:t xml:space="preserve"> </w:t>
      </w:r>
      <w:r>
        <w:rPr>
          <w:rFonts w:eastAsia="Arial Unicode MS" w:cstheme="minorHAnsi"/>
          <w:szCs w:val="21"/>
        </w:rPr>
        <w:t>Lu</w:t>
      </w:r>
      <w:r>
        <w:rPr>
          <w:rFonts w:hint="eastAsia" w:eastAsia="Arial Unicode MS" w:cstheme="minorHAnsi"/>
          <w:szCs w:val="21"/>
        </w:rPr>
        <w:t xml:space="preserve"> </w:t>
      </w:r>
      <w:r>
        <w:rPr>
          <w:rFonts w:eastAsia="Arial Unicode MS" w:cstheme="minorHAnsi"/>
          <w:szCs w:val="21"/>
        </w:rPr>
        <w:t>(Northeast University of Petroleum, China)</w:t>
      </w:r>
    </w:p>
    <w:p>
      <w:pPr>
        <w:pStyle w:val="25"/>
        <w:numPr>
          <w:ilvl w:val="0"/>
          <w:numId w:val="3"/>
        </w:numPr>
        <w:ind w:left="210" w:leftChars="100"/>
        <w:rPr>
          <w:rFonts w:eastAsia="Arial Unicode MS" w:cstheme="minorHAnsi"/>
          <w:szCs w:val="21"/>
        </w:rPr>
      </w:pPr>
      <w:r>
        <w:rPr>
          <w:rFonts w:eastAsia="Arial Unicode MS" w:cstheme="minorHAnsi"/>
          <w:szCs w:val="21"/>
        </w:rPr>
        <w:t>Dr. Swapan Kumar Bhattacharya (University Technology Petronas, Malaysia)</w:t>
      </w:r>
    </w:p>
    <w:p>
      <w:pPr>
        <w:pStyle w:val="25"/>
        <w:numPr>
          <w:ilvl w:val="0"/>
          <w:numId w:val="3"/>
        </w:numPr>
        <w:ind w:left="210" w:leftChars="100"/>
        <w:rPr>
          <w:rFonts w:eastAsia="Arial Unicode MS" w:cstheme="minorHAnsi"/>
          <w:szCs w:val="21"/>
        </w:rPr>
      </w:pPr>
      <w:r>
        <w:rPr>
          <w:rFonts w:eastAsia="Arial Unicode MS" w:cstheme="minorHAnsi"/>
          <w:szCs w:val="21"/>
        </w:rPr>
        <w:t>Dr. Very Susanto (Bandung Institute of Technology, Indonesia)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Wang</w:t>
      </w:r>
      <w:r>
        <w:rPr>
          <w:rFonts w:hint="eastAsia" w:eastAsia="Arial Unicode MS" w:cstheme="minorHAnsi"/>
          <w:szCs w:val="21"/>
        </w:rPr>
        <w:t>lu</w:t>
      </w:r>
      <w:r>
        <w:rPr>
          <w:rFonts w:eastAsia="Arial Unicode MS" w:cstheme="minorHAnsi"/>
          <w:szCs w:val="21"/>
        </w:rPr>
        <w:t xml:space="preserve"> </w:t>
      </w:r>
      <w:r>
        <w:rPr>
          <w:rFonts w:hint="eastAsia" w:eastAsia="Arial Unicode MS" w:cstheme="minorHAnsi"/>
          <w:szCs w:val="21"/>
        </w:rPr>
        <w:t>Jia (</w:t>
      </w:r>
      <w:r>
        <w:rPr>
          <w:rFonts w:eastAsia="Arial Unicode MS" w:cstheme="minorHAnsi"/>
          <w:szCs w:val="21"/>
        </w:rPr>
        <w:t>Guangzhou Institute of Geochemistry, CAS, China</w:t>
      </w:r>
      <w:r>
        <w:rPr>
          <w:rFonts w:hint="eastAsia" w:eastAsia="Arial Unicode MS" w:cstheme="minorHAnsi"/>
          <w:szCs w:val="21"/>
        </w:rPr>
        <w:t>)</w:t>
      </w:r>
    </w:p>
    <w:p>
      <w:pPr>
        <w:pStyle w:val="25"/>
        <w:numPr>
          <w:ilvl w:val="0"/>
          <w:numId w:val="3"/>
        </w:numPr>
        <w:ind w:left="210" w:leftChars="100"/>
        <w:rPr>
          <w:rFonts w:eastAsia="Arial Unicode MS" w:cstheme="minorHAnsi"/>
          <w:szCs w:val="21"/>
        </w:rPr>
      </w:pPr>
      <w:r>
        <w:rPr>
          <w:rFonts w:eastAsia="Arial Unicode MS" w:cstheme="minorHAnsi"/>
          <w:szCs w:val="21"/>
        </w:rPr>
        <w:t>Prof. Wenhui Liu (</w:t>
      </w:r>
      <w:r>
        <w:rPr>
          <w:rFonts w:hint="eastAsia" w:eastAsia="Arial Unicode MS" w:cstheme="minorHAnsi"/>
          <w:szCs w:val="21"/>
        </w:rPr>
        <w:t>Northwest</w:t>
      </w:r>
      <w:r>
        <w:rPr>
          <w:rFonts w:eastAsia="Arial Unicode MS" w:cstheme="minorHAnsi"/>
          <w:szCs w:val="21"/>
        </w:rPr>
        <w:t xml:space="preserve"> University , China)</w:t>
      </w:r>
    </w:p>
    <w:p>
      <w:pPr>
        <w:pStyle w:val="25"/>
        <w:numPr>
          <w:ilvl w:val="0"/>
          <w:numId w:val="3"/>
        </w:numPr>
        <w:ind w:left="210" w:leftChars="100"/>
        <w:rPr>
          <w:rFonts w:eastAsia="Arial Unicode MS" w:cstheme="minorHAnsi"/>
          <w:szCs w:val="21"/>
        </w:rPr>
      </w:pPr>
      <w:r>
        <w:rPr>
          <w:rFonts w:hint="eastAsia" w:eastAsia="Arial Unicode MS" w:cstheme="minorHAnsi"/>
          <w:szCs w:val="21"/>
        </w:rPr>
        <w:t>Prof</w:t>
      </w:r>
      <w:r>
        <w:rPr>
          <w:rFonts w:eastAsia="Arial Unicode MS" w:cstheme="minorHAnsi"/>
          <w:szCs w:val="21"/>
        </w:rPr>
        <w:t>. Xiaomei</w:t>
      </w:r>
      <w:r>
        <w:rPr>
          <w:rFonts w:hint="eastAsia" w:eastAsia="Arial Unicode MS" w:cstheme="minorHAnsi"/>
          <w:szCs w:val="21"/>
        </w:rPr>
        <w:t xml:space="preserve"> </w:t>
      </w:r>
      <w:r>
        <w:rPr>
          <w:rFonts w:eastAsia="Arial Unicode MS" w:cstheme="minorHAnsi"/>
          <w:szCs w:val="21"/>
        </w:rPr>
        <w:t>Wang</w:t>
      </w:r>
      <w:r>
        <w:rPr>
          <w:rFonts w:hint="eastAsia" w:eastAsia="Arial Unicode MS" w:cstheme="minorHAnsi"/>
          <w:szCs w:val="21"/>
        </w:rPr>
        <w:t xml:space="preserve"> </w:t>
      </w:r>
      <w:r>
        <w:rPr>
          <w:rFonts w:eastAsia="Arial Unicode MS" w:cstheme="minorHAnsi"/>
          <w:szCs w:val="21"/>
        </w:rPr>
        <w:t>(</w:t>
      </w:r>
      <w:r>
        <w:rPr>
          <w:rFonts w:cstheme="minorHAnsi"/>
          <w:szCs w:val="21"/>
        </w:rPr>
        <w:t xml:space="preserve">Research Institute of Petroleum E &amp; D, </w:t>
      </w:r>
      <w:r>
        <w:rPr>
          <w:rFonts w:hint="eastAsia" w:eastAsia="Arial Unicode MS" w:cstheme="minorHAnsi"/>
          <w:szCs w:val="21"/>
        </w:rPr>
        <w:t>CNPC</w:t>
      </w:r>
      <w:r>
        <w:rPr>
          <w:rFonts w:eastAsia="Arial Unicode MS" w:cstheme="minorHAnsi"/>
          <w:szCs w:val="21"/>
        </w:rPr>
        <w:t>, China)</w:t>
      </w:r>
    </w:p>
    <w:p>
      <w:pPr>
        <w:pStyle w:val="25"/>
        <w:numPr>
          <w:ilvl w:val="0"/>
          <w:numId w:val="3"/>
        </w:numPr>
        <w:ind w:left="210" w:leftChars="100"/>
        <w:rPr>
          <w:rFonts w:eastAsia="Arial Unicode MS" w:cstheme="minorHAnsi"/>
          <w:szCs w:val="21"/>
        </w:rPr>
      </w:pPr>
      <w:r>
        <w:rPr>
          <w:rFonts w:eastAsia="Arial Unicode MS" w:cstheme="minorHAnsi"/>
          <w:szCs w:val="21"/>
        </w:rPr>
        <w:t>Prof. Yongge</w:t>
      </w:r>
      <w:r>
        <w:rPr>
          <w:rFonts w:hint="eastAsia" w:eastAsia="Arial Unicode MS" w:cstheme="minorHAnsi"/>
          <w:szCs w:val="21"/>
        </w:rPr>
        <w:t xml:space="preserve"> </w:t>
      </w:r>
      <w:r>
        <w:rPr>
          <w:rFonts w:eastAsia="Arial Unicode MS" w:cstheme="minorHAnsi"/>
          <w:szCs w:val="21"/>
        </w:rPr>
        <w:t>Sun</w:t>
      </w:r>
      <w:r>
        <w:rPr>
          <w:rFonts w:hint="eastAsia" w:eastAsia="Arial Unicode MS" w:cstheme="minorHAnsi"/>
          <w:szCs w:val="21"/>
        </w:rPr>
        <w:t xml:space="preserve"> </w:t>
      </w:r>
      <w:r>
        <w:rPr>
          <w:rFonts w:eastAsia="Arial Unicode MS" w:cstheme="minorHAnsi"/>
          <w:szCs w:val="21"/>
        </w:rPr>
        <w:t>(Zhejiang University, China)</w:t>
      </w:r>
    </w:p>
    <w:p>
      <w:pPr>
        <w:pStyle w:val="25"/>
        <w:numPr>
          <w:ilvl w:val="0"/>
          <w:numId w:val="3"/>
        </w:numPr>
        <w:ind w:left="210" w:leftChars="100"/>
        <w:rPr>
          <w:rFonts w:eastAsia="Arial Unicode MS" w:cstheme="minorHAnsi"/>
          <w:szCs w:val="21"/>
        </w:rPr>
      </w:pPr>
      <w:r>
        <w:rPr>
          <w:rFonts w:hint="eastAsia" w:eastAsia="Arial Unicode MS" w:cstheme="minorHAnsi"/>
          <w:szCs w:val="21"/>
        </w:rPr>
        <w:t xml:space="preserve">Dr. Yongbo Peng </w:t>
      </w:r>
      <w:r>
        <w:rPr>
          <w:rFonts w:eastAsia="Arial Unicode MS" w:cstheme="minorHAnsi"/>
          <w:szCs w:val="21"/>
        </w:rPr>
        <w:t>(</w:t>
      </w:r>
      <w:r>
        <w:rPr>
          <w:rFonts w:hint="eastAsia" w:eastAsia="Arial Unicode MS" w:cstheme="minorHAnsi"/>
          <w:szCs w:val="21"/>
        </w:rPr>
        <w:t>Nanjing</w:t>
      </w:r>
      <w:r>
        <w:rPr>
          <w:rFonts w:eastAsia="Arial Unicode MS" w:cstheme="minorHAnsi"/>
          <w:szCs w:val="21"/>
        </w:rPr>
        <w:t xml:space="preserve"> University, China)</w:t>
      </w:r>
    </w:p>
    <w:p>
      <w:pPr>
        <w:pStyle w:val="25"/>
        <w:numPr>
          <w:ilvl w:val="0"/>
          <w:numId w:val="3"/>
        </w:numPr>
        <w:ind w:left="210" w:leftChars="100"/>
        <w:rPr>
          <w:rFonts w:eastAsia="Arial Unicode MS" w:cstheme="minorHAnsi"/>
          <w:szCs w:val="21"/>
        </w:rPr>
      </w:pPr>
      <w:r>
        <w:rPr>
          <w:rFonts w:eastAsia="Arial Unicode MS" w:cstheme="minorHAnsi"/>
          <w:szCs w:val="21"/>
        </w:rPr>
        <w:t>Prof. Zhong Ningning (China University of Petroleum, China)</w:t>
      </w:r>
    </w:p>
    <w:p>
      <w:pPr>
        <w:ind w:left="420" w:leftChars="100" w:hanging="210" w:hangingChars="100"/>
        <w:rPr>
          <w:rFonts w:eastAsia="Arial Unicode MS" w:cstheme="minorHAnsi"/>
          <w:b/>
          <w:iCs/>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ejaVuSans">
    <w:altName w:val="Times New Roman"/>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roman"/>
    <w:pitch w:val="default"/>
    <w:sig w:usb0="00000000" w:usb1="00000000" w:usb2="00000000" w:usb3="00000000" w:csb0="00000000" w:csb1="00000000"/>
  </w:font>
  <w:font w:name="Arial-BoldM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358B3"/>
    <w:multiLevelType w:val="multilevel"/>
    <w:tmpl w:val="5B4358B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667447F0"/>
    <w:multiLevelType w:val="multilevel"/>
    <w:tmpl w:val="667447F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742D25CB"/>
    <w:multiLevelType w:val="multilevel"/>
    <w:tmpl w:val="742D25C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3B"/>
    <w:rsid w:val="000078C6"/>
    <w:rsid w:val="00015D1A"/>
    <w:rsid w:val="00020A1E"/>
    <w:rsid w:val="00026D57"/>
    <w:rsid w:val="00036BD1"/>
    <w:rsid w:val="00050D81"/>
    <w:rsid w:val="000510FD"/>
    <w:rsid w:val="000746A5"/>
    <w:rsid w:val="0007498E"/>
    <w:rsid w:val="00075B17"/>
    <w:rsid w:val="00092062"/>
    <w:rsid w:val="00097F6A"/>
    <w:rsid w:val="000A1E09"/>
    <w:rsid w:val="000A4F63"/>
    <w:rsid w:val="000B40C5"/>
    <w:rsid w:val="000D05BE"/>
    <w:rsid w:val="000E1834"/>
    <w:rsid w:val="000E2503"/>
    <w:rsid w:val="000F6A9A"/>
    <w:rsid w:val="00105947"/>
    <w:rsid w:val="00110044"/>
    <w:rsid w:val="00117B2D"/>
    <w:rsid w:val="001231B9"/>
    <w:rsid w:val="00124BFC"/>
    <w:rsid w:val="00131EF3"/>
    <w:rsid w:val="00133E1E"/>
    <w:rsid w:val="00136832"/>
    <w:rsid w:val="00140EE2"/>
    <w:rsid w:val="00146FE3"/>
    <w:rsid w:val="00174D07"/>
    <w:rsid w:val="00180FCB"/>
    <w:rsid w:val="00184971"/>
    <w:rsid w:val="00194F4B"/>
    <w:rsid w:val="001A1308"/>
    <w:rsid w:val="001A28F4"/>
    <w:rsid w:val="001B3E07"/>
    <w:rsid w:val="001C1E5B"/>
    <w:rsid w:val="001C2D2F"/>
    <w:rsid w:val="001D5818"/>
    <w:rsid w:val="001F289B"/>
    <w:rsid w:val="0021158B"/>
    <w:rsid w:val="002117D9"/>
    <w:rsid w:val="0022070F"/>
    <w:rsid w:val="00236598"/>
    <w:rsid w:val="002378C2"/>
    <w:rsid w:val="00254300"/>
    <w:rsid w:val="002566B9"/>
    <w:rsid w:val="002605DC"/>
    <w:rsid w:val="002932F6"/>
    <w:rsid w:val="00294F8F"/>
    <w:rsid w:val="002B38EF"/>
    <w:rsid w:val="002D4B21"/>
    <w:rsid w:val="002E13DD"/>
    <w:rsid w:val="002F6F52"/>
    <w:rsid w:val="003022C5"/>
    <w:rsid w:val="003360CC"/>
    <w:rsid w:val="003374C2"/>
    <w:rsid w:val="00351860"/>
    <w:rsid w:val="00382270"/>
    <w:rsid w:val="003A10F6"/>
    <w:rsid w:val="003A5601"/>
    <w:rsid w:val="003B6DAB"/>
    <w:rsid w:val="003C0A8F"/>
    <w:rsid w:val="003C7A51"/>
    <w:rsid w:val="003D4B32"/>
    <w:rsid w:val="003D5348"/>
    <w:rsid w:val="003E7588"/>
    <w:rsid w:val="00414D22"/>
    <w:rsid w:val="00415516"/>
    <w:rsid w:val="00420824"/>
    <w:rsid w:val="00432E9D"/>
    <w:rsid w:val="00452251"/>
    <w:rsid w:val="00455784"/>
    <w:rsid w:val="00455815"/>
    <w:rsid w:val="004573A2"/>
    <w:rsid w:val="00462EBA"/>
    <w:rsid w:val="0046629A"/>
    <w:rsid w:val="004803C5"/>
    <w:rsid w:val="00482C5F"/>
    <w:rsid w:val="0048785B"/>
    <w:rsid w:val="004911F4"/>
    <w:rsid w:val="00495481"/>
    <w:rsid w:val="004A7E83"/>
    <w:rsid w:val="004C4266"/>
    <w:rsid w:val="004C450D"/>
    <w:rsid w:val="004D39DB"/>
    <w:rsid w:val="004E4D4C"/>
    <w:rsid w:val="004F1C3D"/>
    <w:rsid w:val="004F5D72"/>
    <w:rsid w:val="005042A0"/>
    <w:rsid w:val="00504594"/>
    <w:rsid w:val="005110F9"/>
    <w:rsid w:val="00544E47"/>
    <w:rsid w:val="005515BF"/>
    <w:rsid w:val="00555053"/>
    <w:rsid w:val="005668A1"/>
    <w:rsid w:val="005833C6"/>
    <w:rsid w:val="005876FB"/>
    <w:rsid w:val="005A1AA0"/>
    <w:rsid w:val="005B7D7E"/>
    <w:rsid w:val="005D5AB5"/>
    <w:rsid w:val="005E1492"/>
    <w:rsid w:val="005F435E"/>
    <w:rsid w:val="005F7DC8"/>
    <w:rsid w:val="00603FA3"/>
    <w:rsid w:val="00606B2F"/>
    <w:rsid w:val="006105E6"/>
    <w:rsid w:val="006113BC"/>
    <w:rsid w:val="0061289A"/>
    <w:rsid w:val="00613445"/>
    <w:rsid w:val="00625195"/>
    <w:rsid w:val="006277A6"/>
    <w:rsid w:val="00632C13"/>
    <w:rsid w:val="00645AD3"/>
    <w:rsid w:val="00645C8F"/>
    <w:rsid w:val="006461D7"/>
    <w:rsid w:val="00656F06"/>
    <w:rsid w:val="00663C8A"/>
    <w:rsid w:val="00666905"/>
    <w:rsid w:val="00674A97"/>
    <w:rsid w:val="00683880"/>
    <w:rsid w:val="006A3245"/>
    <w:rsid w:val="006A34FF"/>
    <w:rsid w:val="006A7EC5"/>
    <w:rsid w:val="006B2986"/>
    <w:rsid w:val="006B67B0"/>
    <w:rsid w:val="006C3109"/>
    <w:rsid w:val="006C6590"/>
    <w:rsid w:val="006D3219"/>
    <w:rsid w:val="006F00D2"/>
    <w:rsid w:val="006F1AD1"/>
    <w:rsid w:val="006F47A8"/>
    <w:rsid w:val="00704821"/>
    <w:rsid w:val="00722680"/>
    <w:rsid w:val="00725FEB"/>
    <w:rsid w:val="0073591A"/>
    <w:rsid w:val="0074632D"/>
    <w:rsid w:val="00747A38"/>
    <w:rsid w:val="00767C28"/>
    <w:rsid w:val="00782121"/>
    <w:rsid w:val="00787693"/>
    <w:rsid w:val="00792494"/>
    <w:rsid w:val="007C216E"/>
    <w:rsid w:val="007D18CE"/>
    <w:rsid w:val="007E45A4"/>
    <w:rsid w:val="007F5712"/>
    <w:rsid w:val="00800D7B"/>
    <w:rsid w:val="00821D37"/>
    <w:rsid w:val="00823B0C"/>
    <w:rsid w:val="0082633A"/>
    <w:rsid w:val="008458D8"/>
    <w:rsid w:val="00853B9E"/>
    <w:rsid w:val="00857C65"/>
    <w:rsid w:val="00883C42"/>
    <w:rsid w:val="00894A6A"/>
    <w:rsid w:val="00895441"/>
    <w:rsid w:val="008A3612"/>
    <w:rsid w:val="008B5002"/>
    <w:rsid w:val="008D12F8"/>
    <w:rsid w:val="008D3020"/>
    <w:rsid w:val="008D6A15"/>
    <w:rsid w:val="008F2C0A"/>
    <w:rsid w:val="0090369F"/>
    <w:rsid w:val="009237DC"/>
    <w:rsid w:val="009359CA"/>
    <w:rsid w:val="00936CC8"/>
    <w:rsid w:val="00955434"/>
    <w:rsid w:val="00964A34"/>
    <w:rsid w:val="00981528"/>
    <w:rsid w:val="00991735"/>
    <w:rsid w:val="00993BA7"/>
    <w:rsid w:val="009B65D9"/>
    <w:rsid w:val="009B6874"/>
    <w:rsid w:val="009C1A57"/>
    <w:rsid w:val="009D6EE0"/>
    <w:rsid w:val="009D770B"/>
    <w:rsid w:val="009F15F2"/>
    <w:rsid w:val="00A01FF1"/>
    <w:rsid w:val="00A13A25"/>
    <w:rsid w:val="00A15FF2"/>
    <w:rsid w:val="00A23AD1"/>
    <w:rsid w:val="00A25144"/>
    <w:rsid w:val="00A3162F"/>
    <w:rsid w:val="00A53854"/>
    <w:rsid w:val="00A631A8"/>
    <w:rsid w:val="00A63F4A"/>
    <w:rsid w:val="00A65349"/>
    <w:rsid w:val="00A72A44"/>
    <w:rsid w:val="00A74E81"/>
    <w:rsid w:val="00A767CE"/>
    <w:rsid w:val="00A815BB"/>
    <w:rsid w:val="00A8259B"/>
    <w:rsid w:val="00A9783C"/>
    <w:rsid w:val="00AA3554"/>
    <w:rsid w:val="00AB5652"/>
    <w:rsid w:val="00AB621B"/>
    <w:rsid w:val="00AC157C"/>
    <w:rsid w:val="00AC277A"/>
    <w:rsid w:val="00AD2466"/>
    <w:rsid w:val="00AE4E6B"/>
    <w:rsid w:val="00B03E9B"/>
    <w:rsid w:val="00B03F0E"/>
    <w:rsid w:val="00B04D78"/>
    <w:rsid w:val="00B213EA"/>
    <w:rsid w:val="00B259AF"/>
    <w:rsid w:val="00B344EF"/>
    <w:rsid w:val="00B40577"/>
    <w:rsid w:val="00B87BF6"/>
    <w:rsid w:val="00B93762"/>
    <w:rsid w:val="00BB466C"/>
    <w:rsid w:val="00BC32D5"/>
    <w:rsid w:val="00BE454C"/>
    <w:rsid w:val="00C12E48"/>
    <w:rsid w:val="00C204A6"/>
    <w:rsid w:val="00C3306E"/>
    <w:rsid w:val="00C47A4D"/>
    <w:rsid w:val="00C518F1"/>
    <w:rsid w:val="00C51B85"/>
    <w:rsid w:val="00C56534"/>
    <w:rsid w:val="00CB346B"/>
    <w:rsid w:val="00CC147E"/>
    <w:rsid w:val="00CD1AAD"/>
    <w:rsid w:val="00CF5410"/>
    <w:rsid w:val="00D1153D"/>
    <w:rsid w:val="00D14F11"/>
    <w:rsid w:val="00D164AD"/>
    <w:rsid w:val="00D22CDB"/>
    <w:rsid w:val="00D30CB0"/>
    <w:rsid w:val="00D64DF9"/>
    <w:rsid w:val="00D945C1"/>
    <w:rsid w:val="00D97CA4"/>
    <w:rsid w:val="00DA29AA"/>
    <w:rsid w:val="00DB060B"/>
    <w:rsid w:val="00DB1BD7"/>
    <w:rsid w:val="00DB2064"/>
    <w:rsid w:val="00DC5360"/>
    <w:rsid w:val="00DD59BE"/>
    <w:rsid w:val="00DF05FD"/>
    <w:rsid w:val="00DF4E61"/>
    <w:rsid w:val="00DF7E67"/>
    <w:rsid w:val="00E01B67"/>
    <w:rsid w:val="00E11585"/>
    <w:rsid w:val="00E3148F"/>
    <w:rsid w:val="00E37CC4"/>
    <w:rsid w:val="00E53569"/>
    <w:rsid w:val="00E55AA9"/>
    <w:rsid w:val="00E72938"/>
    <w:rsid w:val="00E736B1"/>
    <w:rsid w:val="00E90497"/>
    <w:rsid w:val="00E93218"/>
    <w:rsid w:val="00E95758"/>
    <w:rsid w:val="00EB2111"/>
    <w:rsid w:val="00EB3A27"/>
    <w:rsid w:val="00EB6792"/>
    <w:rsid w:val="00EE73C5"/>
    <w:rsid w:val="00EF4C7C"/>
    <w:rsid w:val="00F00A32"/>
    <w:rsid w:val="00F043C6"/>
    <w:rsid w:val="00F14A24"/>
    <w:rsid w:val="00F23295"/>
    <w:rsid w:val="00F34674"/>
    <w:rsid w:val="00F347EF"/>
    <w:rsid w:val="00F3689D"/>
    <w:rsid w:val="00F369B7"/>
    <w:rsid w:val="00F41A64"/>
    <w:rsid w:val="00F43B3B"/>
    <w:rsid w:val="00F51732"/>
    <w:rsid w:val="00F72127"/>
    <w:rsid w:val="00F73075"/>
    <w:rsid w:val="00F841DD"/>
    <w:rsid w:val="00F84A84"/>
    <w:rsid w:val="00F93F94"/>
    <w:rsid w:val="00FB5F17"/>
    <w:rsid w:val="00FB6F0A"/>
    <w:rsid w:val="00FC203F"/>
    <w:rsid w:val="00FD7DCC"/>
    <w:rsid w:val="00FE4652"/>
    <w:rsid w:val="00FF0B78"/>
    <w:rsid w:val="00FF73D0"/>
    <w:rsid w:val="03FD08CB"/>
    <w:rsid w:val="079B46E6"/>
    <w:rsid w:val="094670B2"/>
    <w:rsid w:val="0EA57FA7"/>
    <w:rsid w:val="0FDF4E93"/>
    <w:rsid w:val="22DF750A"/>
    <w:rsid w:val="28664D12"/>
    <w:rsid w:val="29125545"/>
    <w:rsid w:val="3295551E"/>
    <w:rsid w:val="32D2218B"/>
    <w:rsid w:val="350F3D64"/>
    <w:rsid w:val="3FCC299E"/>
    <w:rsid w:val="40A8692F"/>
    <w:rsid w:val="426920E6"/>
    <w:rsid w:val="42AA798E"/>
    <w:rsid w:val="47A67B55"/>
    <w:rsid w:val="4D283CB2"/>
    <w:rsid w:val="54905E04"/>
    <w:rsid w:val="658B42D6"/>
    <w:rsid w:val="678C353B"/>
    <w:rsid w:val="6D96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ody Text"/>
    <w:basedOn w:val="1"/>
    <w:link w:val="26"/>
    <w:qFormat/>
    <w:uiPriority w:val="0"/>
    <w:rPr>
      <w:rFonts w:ascii="Times New Roman" w:hAnsi="Times New Roman" w:eastAsia="宋体" w:cs="Times New Roman"/>
      <w:sz w:val="32"/>
      <w:szCs w:val="24"/>
    </w:rPr>
  </w:style>
  <w:style w:type="paragraph" w:styleId="6">
    <w:name w:val="Balloon Text"/>
    <w:basedOn w:val="1"/>
    <w:link w:val="21"/>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line="300" w:lineRule="atLeast"/>
      <w:jc w:val="left"/>
    </w:pPr>
    <w:rPr>
      <w:rFonts w:ascii="DejaVuSans" w:hAnsi="DejaVuSans" w:eastAsia="宋体" w:cs="宋体"/>
      <w:color w:val="333333"/>
      <w:spacing w:val="19"/>
      <w:kern w:val="0"/>
      <w:sz w:val="20"/>
      <w:szCs w:val="20"/>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fontstyle01"/>
    <w:basedOn w:val="13"/>
    <w:qFormat/>
    <w:uiPriority w:val="0"/>
    <w:rPr>
      <w:rFonts w:hint="default" w:ascii="ArialMT" w:hAnsi="ArialMT"/>
      <w:color w:val="FF0000"/>
      <w:sz w:val="30"/>
      <w:szCs w:val="30"/>
    </w:rPr>
  </w:style>
  <w:style w:type="character" w:customStyle="1" w:styleId="18">
    <w:name w:val="fontstyle21"/>
    <w:basedOn w:val="13"/>
    <w:qFormat/>
    <w:uiPriority w:val="0"/>
    <w:rPr>
      <w:rFonts w:hint="default" w:ascii="Arial-BoldMT" w:hAnsi="Arial-BoldMT"/>
      <w:b/>
      <w:bCs/>
      <w:color w:val="FF0000"/>
      <w:sz w:val="32"/>
      <w:szCs w:val="32"/>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批注框文本 字符"/>
    <w:basedOn w:val="13"/>
    <w:link w:val="6"/>
    <w:semiHidden/>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未处理的提及1"/>
    <w:basedOn w:val="13"/>
    <w:semiHidden/>
    <w:unhideWhenUsed/>
    <w:qFormat/>
    <w:uiPriority w:val="99"/>
    <w:rPr>
      <w:color w:val="605E5C"/>
      <w:shd w:val="clear" w:color="auto" w:fill="E1DFDD"/>
    </w:rPr>
  </w:style>
  <w:style w:type="paragraph" w:styleId="25">
    <w:name w:val="List Paragraph"/>
    <w:basedOn w:val="1"/>
    <w:qFormat/>
    <w:uiPriority w:val="34"/>
    <w:pPr>
      <w:ind w:left="720"/>
      <w:contextualSpacing/>
    </w:pPr>
  </w:style>
  <w:style w:type="character" w:customStyle="1" w:styleId="26">
    <w:name w:val="正文文本 字符"/>
    <w:basedOn w:val="13"/>
    <w:link w:val="5"/>
    <w:qFormat/>
    <w:uiPriority w:val="0"/>
    <w:rPr>
      <w:rFonts w:ascii="Times New Roman" w:hAnsi="Times New Roman" w:eastAsia="宋体"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8304608F5351264F877356BC30247AF9" ma:contentTypeVersion="0" ma:contentTypeDescription="新建文档。" ma:contentTypeScope="" ma:versionID="4a7d221d4e59b9d000c05d8b53af6076">
  <xsd:schema xmlns:xsd="http://www.w3.org/2001/XMLSchema" xmlns:xs="http://www.w3.org/2001/XMLSchema" xmlns:p="http://schemas.microsoft.com/office/2006/metadata/properties" targetNamespace="http://schemas.microsoft.com/office/2006/metadata/properties" ma:root="true" ma:fieldsID="fe9c461895c5e875a7bafe7f5884261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7929E-4644-435E-BE89-4CCF0DC39181}">
  <ds:schemaRefs/>
</ds:datastoreItem>
</file>

<file path=customXml/itemProps3.xml><?xml version="1.0" encoding="utf-8"?>
<ds:datastoreItem xmlns:ds="http://schemas.openxmlformats.org/officeDocument/2006/customXml" ds:itemID="{B1977F7D-205B-4081-913C-38D41E755F92}">
  <ds:schemaRefs/>
</ds:datastoreItem>
</file>

<file path=customXml/itemProps4.xml><?xml version="1.0" encoding="utf-8"?>
<ds:datastoreItem xmlns:ds="http://schemas.openxmlformats.org/officeDocument/2006/customXml" ds:itemID="{6426793C-C0EA-43D7-8B09-D00A1D23193D}">
  <ds:schemaRefs/>
</ds:datastoreItem>
</file>

<file path=customXml/itemProps5.xml><?xml version="1.0" encoding="utf-8"?>
<ds:datastoreItem xmlns:ds="http://schemas.openxmlformats.org/officeDocument/2006/customXml" ds:itemID="{91C8541D-C032-4976-8199-EE5CF168A103}">
  <ds:schemaRefs/>
</ds:datastoreItem>
</file>

<file path=docProps/app.xml><?xml version="1.0" encoding="utf-8"?>
<Properties xmlns="http://schemas.openxmlformats.org/officeDocument/2006/extended-properties" xmlns:vt="http://schemas.openxmlformats.org/officeDocument/2006/docPropsVTypes">
  <Template>Normal</Template>
  <Pages>4</Pages>
  <Words>1137</Words>
  <Characters>6482</Characters>
  <Lines>54</Lines>
  <Paragraphs>15</Paragraphs>
  <TotalTime>12</TotalTime>
  <ScaleCrop>false</ScaleCrop>
  <LinksUpToDate>false</LinksUpToDate>
  <CharactersWithSpaces>7604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2024-07-03T06:59:00Z</dcterms:created>
  <dc:creator>unknown</dc:creator>
  <cp:lastModifiedBy>刘颖</cp:lastModifiedBy>
  <cp:lastPrinted>2024-07-04T01:32:00Z</cp:lastPrinted>
  <dcterms:modified xsi:type="dcterms:W3CDTF">2024-07-05T09:20:53Z</dcterms:modified>
  <dc:title>关于举办“第12届亚非石油地球化学与勘探国际会议”的二号通知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ContentTypeId">
    <vt:lpwstr>0x0101008304608F5351264F877356BC30247AF9</vt:lpwstr>
  </property>
</Properties>
</file>